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5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le"/>
        <w:spacing w:before="480" w:after="240"/>
        <w:rPr/>
      </w:pPr>
      <w:r>
        <w:rPr/>
        <w:t>Handout – Working with Geo-Data</w:t>
      </w:r>
    </w:p>
    <w:p>
      <w:pPr>
        <w:pStyle w:val="Subtitle"/>
        <w:rPr/>
      </w:pPr>
      <w:r>
        <w:rPr/>
        <w:t>NaWi-Workshop: Obtaining, linking and plotting geographic data</w:t>
      </w:r>
    </w:p>
    <w:p>
      <w:pPr>
        <w:pStyle w:val="Author"/>
        <w:rPr/>
      </w:pPr>
      <w:r>
        <w:rPr/>
        <w:t xml:space="preserve">Markus Konrad </w:t>
      </w:r>
      <w:hyperlink r:id="rId2">
        <w:r>
          <w:rPr>
            <w:rStyle w:val="InternetLink"/>
          </w:rPr>
          <w:t>markus.konrad@wzb.eu</w:t>
        </w:r>
      </w:hyperlink>
    </w:p>
    <w:p>
      <w:pPr>
        <w:pStyle w:val="Date"/>
        <w:rPr/>
      </w:pPr>
      <w:r>
        <w:rPr/>
        <w:t>May 6, 2019</w:t>
      </w:r>
    </w:p>
    <w:p>
      <w:pPr>
        <w:pStyle w:val="Heading1"/>
        <w:rPr/>
      </w:pPr>
      <w:bookmarkStart w:id="0" w:name="plotting-with-ggplot2"/>
      <w:bookmarkEnd w:id="0"/>
      <w:r>
        <w:rPr/>
        <w:t xml:space="preserve">Plotting with </w:t>
      </w:r>
      <w:r>
        <w:rPr>
          <w:i/>
        </w:rPr>
        <w:t>ggplot2</w:t>
      </w:r>
    </w:p>
    <w:p>
      <w:pPr>
        <w:pStyle w:val="FirstParagraph"/>
        <w:rPr/>
      </w:pPr>
      <w:r>
        <w:rPr/>
        <w:t xml:space="preserve">The following will only a cover some basic explanations and recipes. I will only show scatterplots as examples, but the basic concepts can be applied to all other kinds of plots. Specifically, geographic plots with </w:t>
      </w:r>
      <w:r>
        <w:rPr>
          <w:rStyle w:val="VerbatimChar"/>
        </w:rPr>
        <w:t>geom_sf()</w:t>
      </w:r>
      <w:r>
        <w:rPr/>
        <w:t xml:space="preserve"> work in a very similar fashion, only that the coordinate system usually uses geo-locations in longitude / latitude degrees on the x- and y-axis.</w:t>
      </w:r>
    </w:p>
    <w:p>
      <w:pPr>
        <w:pStyle w:val="TextBody"/>
        <w:rPr/>
      </w:pPr>
      <w:r>
        <w:rPr/>
        <w:t xml:space="preserve">For a more thorough introduction to ggplot2, see </w:t>
      </w:r>
      <w:hyperlink r:id="rId3">
        <w:r>
          <w:rPr>
            <w:rStyle w:val="InternetLink"/>
          </w:rPr>
          <w:t>chapter 3 in “R for Data Science”</w:t>
        </w:r>
      </w:hyperlink>
      <w:r>
        <w:rPr/>
        <w:t>.</w:t>
      </w:r>
    </w:p>
    <w:p>
      <w:pPr>
        <w:pStyle w:val="Heading2"/>
        <w:rPr/>
      </w:pPr>
      <w:bookmarkStart w:id="1" w:name="an-example-dataset"/>
      <w:bookmarkEnd w:id="1"/>
      <w:r>
        <w:rPr/>
        <w:t>An example dataset</w:t>
      </w:r>
    </w:p>
    <w:p>
      <w:pPr>
        <w:pStyle w:val="FirstParagraph"/>
        <w:rPr/>
      </w:pPr>
      <w:r>
        <w:rPr/>
        <w:t xml:space="preserve">We’ll use the built-in </w:t>
      </w:r>
      <w:r>
        <w:rPr>
          <w:rStyle w:val="VerbatimChar"/>
        </w:rPr>
        <w:t>airquality</w:t>
      </w:r>
      <w:r>
        <w:rPr/>
        <w:t xml:space="preserve"> dataset:</w:t>
      </w:r>
    </w:p>
    <w:p>
      <w:pPr>
        <w:pStyle w:val="SourceCode"/>
        <w:rPr/>
      </w:pPr>
      <w:r>
        <w:rPr>
          <w:rStyle w:val="KeywordTok"/>
        </w:rPr>
        <w:t>head</w:t>
      </w:r>
      <w:r>
        <w:rPr>
          <w:rStyle w:val="NormalTok"/>
        </w:rPr>
        <w:t>(airquality)</w:t>
      </w:r>
    </w:p>
    <w:p>
      <w:pPr>
        <w:pStyle w:val="SourceCode"/>
        <w:rPr/>
      </w:pPr>
      <w:r>
        <w:rPr>
          <w:rStyle w:val="VerbatimChar"/>
        </w:rPr>
        <w:t>##   Ozone Solar.R Wind Temp Month Day</w:t>
      </w:r>
      <w:r>
        <w:rPr/>
        <w:br/>
      </w:r>
      <w:r>
        <w:rPr>
          <w:rStyle w:val="VerbatimChar"/>
        </w:rPr>
        <w:t>## 1    41     190  7.4   67     5   1</w:t>
      </w:r>
      <w:r>
        <w:rPr/>
        <w:br/>
      </w:r>
      <w:r>
        <w:rPr>
          <w:rStyle w:val="VerbatimChar"/>
        </w:rPr>
        <w:t>## 2    36     118  8.0   72     5   2</w:t>
      </w:r>
      <w:r>
        <w:rPr/>
        <w:br/>
      </w:r>
      <w:r>
        <w:rPr>
          <w:rStyle w:val="VerbatimChar"/>
        </w:rPr>
        <w:t>## 3    12     149 12.6   74     5   3</w:t>
      </w:r>
      <w:r>
        <w:rPr/>
        <w:br/>
      </w:r>
      <w:r>
        <w:rPr>
          <w:rStyle w:val="VerbatimChar"/>
        </w:rPr>
        <w:t>## 4    18     313 11.5   62     5   4</w:t>
      </w:r>
      <w:r>
        <w:rPr/>
        <w:br/>
      </w:r>
      <w:r>
        <w:rPr>
          <w:rStyle w:val="VerbatimChar"/>
        </w:rPr>
        <w:t>## 5    NA      NA 14.3   56     5   5</w:t>
      </w:r>
      <w:r>
        <w:rPr/>
        <w:br/>
      </w:r>
      <w:r>
        <w:rPr>
          <w:rStyle w:val="VerbatimChar"/>
        </w:rPr>
        <w:t>## 6    28      NA 14.9   66     5   6</w:t>
      </w:r>
    </w:p>
    <w:p>
      <w:pPr>
        <w:pStyle w:val="FirstParagraph"/>
        <w:rPr/>
      </w:pPr>
      <w:r>
        <w:rPr/>
        <w:t>In its very essence, you make a plot by:</w:t>
      </w:r>
    </w:p>
    <w:p>
      <w:pPr>
        <w:pStyle w:val="Compact"/>
        <w:numPr>
          <w:ilvl w:val="0"/>
          <w:numId w:val="1"/>
        </w:numPr>
        <w:rPr/>
      </w:pPr>
      <w:r>
        <w:rPr/>
        <w:t>setting the dataset to use for plotting</w:t>
      </w:r>
    </w:p>
    <w:p>
      <w:pPr>
        <w:pStyle w:val="Compact"/>
        <w:numPr>
          <w:ilvl w:val="0"/>
          <w:numId w:val="1"/>
        </w:numPr>
        <w:rPr/>
      </w:pPr>
      <w:r>
        <w:rPr/>
        <w:t xml:space="preserve">specifying an </w:t>
      </w:r>
      <w:r>
        <w:rPr>
          <w:b/>
          <w:i/>
        </w:rPr>
        <w:t>aesthetics</w:t>
      </w:r>
      <w:r>
        <w:rPr>
          <w:b/>
        </w:rPr>
        <w:t xml:space="preserve"> mapping</w:t>
      </w:r>
      <w:r>
        <w:rPr/>
        <w:t xml:space="preserve"> that defines which visual properties of the plot are controlled by which variables in your dataset (e.g. variable </w:t>
      </w:r>
      <w:r>
        <w:rPr>
          <w:rStyle w:val="VerbatimChar"/>
        </w:rPr>
        <w:t>Temp</w:t>
      </w:r>
      <w:r>
        <w:rPr/>
        <w:t xml:space="preserve"> is mapped to the x-coordinate in your plot, </w:t>
      </w:r>
      <w:r>
        <w:rPr>
          <w:rStyle w:val="VerbatimChar"/>
        </w:rPr>
        <w:t>Ozone</w:t>
      </w:r>
      <w:r>
        <w:rPr/>
        <w:t xml:space="preserve"> is mapped to the y-coordinate)</w:t>
      </w:r>
    </w:p>
    <w:p>
      <w:pPr>
        <w:pStyle w:val="Compact"/>
        <w:numPr>
          <w:ilvl w:val="0"/>
          <w:numId w:val="1"/>
        </w:numPr>
        <w:rPr/>
      </w:pPr>
      <w:r>
        <w:rPr/>
        <w:t xml:space="preserve">setting a graphical primitive (e.g. a line, points, etc.) to use for plotting one layer of the data; this is called a </w:t>
      </w:r>
      <w:r>
        <w:rPr>
          <w:b/>
          <w:i/>
        </w:rPr>
        <w:t>geom</w:t>
      </w:r>
      <w:r>
        <w:rPr/>
        <w:t>; you may add several layers of different graphical primitives to your plot, e.g. a layer for a line showing a trend and a layer of points that display the individual data points</w:t>
      </w:r>
    </w:p>
    <w:p>
      <w:pPr>
        <w:pStyle w:val="FirstParagraph"/>
        <w:rPr/>
      </w:pPr>
      <w:r>
        <w:rPr/>
        <w:t xml:space="preserve">The first two steps can be done by using the </w:t>
      </w:r>
      <w:r>
        <w:rPr>
          <w:rStyle w:val="VerbatimChar"/>
        </w:rPr>
        <w:t>ggplot()</w:t>
      </w:r>
      <w:r>
        <w:rPr/>
        <w:t xml:space="preserve"> function. It accepts the dataset to use and an aesthetic mapping which is defined in the function </w:t>
      </w:r>
      <w:r>
        <w:rPr>
          <w:rStyle w:val="VerbatimChar"/>
        </w:rPr>
        <w:t>aes()</w:t>
      </w:r>
      <w:r>
        <w:rPr/>
        <w:t xml:space="preserve">. You then add a layer of points via the </w:t>
      </w:r>
      <w:r>
        <w:rPr>
          <w:i/>
        </w:rPr>
        <w:t>geom</w:t>
      </w:r>
      <w:r>
        <w:rPr/>
        <w:t xml:space="preserve">-function </w:t>
      </w:r>
      <w:r>
        <w:rPr>
          <w:rStyle w:val="VerbatimChar"/>
        </w:rPr>
        <w:t>geom_point()</w:t>
      </w:r>
      <w:r>
        <w:rPr/>
        <w:t xml:space="preserve">. You combine all these steps by using the </w:t>
      </w:r>
      <w:r>
        <w:rPr>
          <w:rStyle w:val="VerbatimChar"/>
        </w:rPr>
        <w:t>+</w:t>
      </w:r>
      <w:r>
        <w:rPr/>
        <w:t xml:space="preserve"> operator.</w:t>
      </w:r>
    </w:p>
    <w:p>
      <w:pPr>
        <w:pStyle w:val="TextBody"/>
        <w:rPr/>
      </w:pPr>
      <w:r>
        <w:rPr/>
        <w:t xml:space="preserve">An example of a scatterplot of </w:t>
      </w:r>
      <w:r>
        <w:rPr>
          <w:rStyle w:val="VerbatimChar"/>
        </w:rPr>
        <w:t>Ozone</w:t>
      </w:r>
      <w:r>
        <w:rPr/>
        <w:t xml:space="preserve"> on the y-axis against </w:t>
      </w:r>
      <w:r>
        <w:rPr>
          <w:rStyle w:val="VerbatimChar"/>
        </w:rPr>
        <w:t>Temp</w:t>
      </w:r>
      <w:r>
        <w:rPr/>
        <w:t xml:space="preserve"> on the x-axis:</w:t>
      </w:r>
    </w:p>
    <w:p>
      <w:pPr>
        <w:pStyle w:val="SourceCode"/>
        <w:rPr/>
      </w:pPr>
      <w:r>
        <w:rPr>
          <w:rStyle w:val="KeywordTok"/>
        </w:rPr>
        <w:t>library</w:t>
      </w:r>
      <w:r>
        <w:rPr>
          <w:rStyle w:val="NormalTok"/>
        </w:rPr>
        <w:t>(ggplot2)</w:t>
      </w:r>
      <w:r>
        <w:rPr/>
        <w:br/>
        <w:br/>
      </w:r>
      <w:r>
        <w:rPr>
          <w:rStyle w:val="KeywordTok"/>
        </w:rPr>
        <w:t>ggplot</w:t>
      </w:r>
      <w:r>
        <w:rPr>
          <w:rStyle w:val="NormalTok"/>
        </w:rPr>
        <w:t xml:space="preserve">(airquality, 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KeywordTok"/>
        </w:rPr>
        <w:t>geom_point</w:t>
      </w:r>
      <w:r>
        <w:rPr>
          <w:rStyle w:val="NormalTok"/>
        </w:rPr>
        <w:t>()</w:t>
      </w:r>
    </w:p>
    <w:p>
      <w:pPr>
        <w:pStyle w:val="FirstParagraph"/>
        <w:rPr/>
      </w:pPr>
      <w:r>
        <w:rPr/>
        <w:drawing>
          <wp:inline distT="0" distB="0" distL="114935" distR="114935">
            <wp:extent cx="4620260" cy="369633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/>
      </w:pPr>
      <w:r>
        <w:rPr/>
        <w:t xml:space="preserve">Be aware that the dataset and the mapping that you pass to </w:t>
      </w:r>
      <w:r>
        <w:rPr>
          <w:rStyle w:val="VerbatimChar"/>
        </w:rPr>
        <w:t>ggplot()</w:t>
      </w:r>
      <w:r>
        <w:rPr/>
        <w:t xml:space="preserve"> affects all layers unless they define their own data to use and/or aesthetic mapping. For example, we could also refrain from setting a dataset and aesthetic mapping in the </w:t>
      </w:r>
      <w:r>
        <w:rPr>
          <w:rStyle w:val="VerbatimChar"/>
        </w:rPr>
        <w:t>ggplot()</w:t>
      </w:r>
      <w:r>
        <w:rPr/>
        <w:t xml:space="preserve"> function and instead create two layers of points, each using a different dataset and aesthetic mapping:</w:t>
      </w:r>
    </w:p>
    <w:p>
      <w:pPr>
        <w:pStyle w:val="SourceCode"/>
        <w:rPr/>
      </w:pPr>
      <w:r>
        <w:rPr>
          <w:rStyle w:val="NormalTok"/>
        </w:rPr>
        <w:t>random_data &lt;-</w:t>
      </w:r>
      <w:r>
        <w:rPr>
          <w:rStyle w:val="StringTok"/>
        </w:rPr>
        <w:t xml:space="preserve"> </w:t>
      </w:r>
      <w:r>
        <w:rPr>
          <w:rStyle w:val="KeywordTok"/>
        </w:rPr>
        <w:t>data.frame</w:t>
      </w:r>
      <w:r>
        <w:rPr>
          <w:rStyle w:val="NormalTok"/>
        </w:rPr>
        <w:t>(</w:t>
      </w:r>
      <w:r>
        <w:rPr>
          <w:rStyle w:val="DataTypeTok"/>
        </w:rPr>
        <w:t>rand_x =</w:t>
      </w:r>
      <w:r>
        <w:rPr>
          <w:rStyle w:val="NormalTok"/>
        </w:rPr>
        <w:t xml:space="preserve"> </w:t>
      </w:r>
      <w:r>
        <w:rPr>
          <w:rStyle w:val="KeywordTok"/>
        </w:rPr>
        <w:t>rnorm</w:t>
      </w:r>
      <w:r>
        <w:rPr>
          <w:rStyle w:val="NormalTok"/>
        </w:rPr>
        <w:t>(</w:t>
      </w:r>
      <w:r>
        <w:rPr>
          <w:rStyle w:val="DecValTok"/>
        </w:rPr>
        <w:t>10</w:t>
      </w:r>
      <w:r>
        <w:rPr>
          <w:rStyle w:val="NormalTok"/>
        </w:rPr>
        <w:t xml:space="preserve">, </w:t>
      </w:r>
      <w:r>
        <w:rPr>
          <w:rStyle w:val="DataTypeTok"/>
        </w:rPr>
        <w:t>mean =</w:t>
      </w:r>
      <w:r>
        <w:rPr>
          <w:rStyle w:val="NormalTok"/>
        </w:rPr>
        <w:t xml:space="preserve"> </w:t>
      </w:r>
      <w:r>
        <w:rPr>
          <w:rStyle w:val="DecValTok"/>
        </w:rPr>
        <w:t>75</w:t>
      </w:r>
      <w:r>
        <w:rPr>
          <w:rStyle w:val="NormalTok"/>
        </w:rPr>
        <w:t>,</w:t>
      </w:r>
      <w:r>
        <w:rPr/>
        <w:br/>
      </w:r>
      <w:r>
        <w:rPr>
          <w:rStyle w:val="NormalTok"/>
        </w:rPr>
        <w:t xml:space="preserve">                                         </w:t>
      </w:r>
      <w:r>
        <w:rPr>
          <w:rStyle w:val="DataTypeTok"/>
        </w:rPr>
        <w:t>sd =</w:t>
      </w:r>
      <w:r>
        <w:rPr>
          <w:rStyle w:val="NormalTok"/>
        </w:rPr>
        <w:t xml:space="preserve"> </w:t>
      </w:r>
      <w:r>
        <w:rPr>
          <w:rStyle w:val="DecValTok"/>
        </w:rPr>
        <w:t>20</w:t>
      </w:r>
      <w:r>
        <w:rPr>
          <w:rStyle w:val="NormalTok"/>
        </w:rPr>
        <w:t>),</w:t>
      </w:r>
      <w:r>
        <w:rPr/>
        <w:br/>
      </w:r>
      <w:r>
        <w:rPr>
          <w:rStyle w:val="NormalTok"/>
        </w:rPr>
        <w:t xml:space="preserve">                          </w:t>
      </w:r>
      <w:r>
        <w:rPr>
          <w:rStyle w:val="DataTypeTok"/>
        </w:rPr>
        <w:t>rand_y =</w:t>
      </w:r>
      <w:r>
        <w:rPr>
          <w:rStyle w:val="NormalTok"/>
        </w:rPr>
        <w:t xml:space="preserve"> </w:t>
      </w:r>
      <w:r>
        <w:rPr>
          <w:rStyle w:val="KeywordTok"/>
        </w:rPr>
        <w:t>rnorm</w:t>
      </w:r>
      <w:r>
        <w:rPr>
          <w:rStyle w:val="NormalTok"/>
        </w:rPr>
        <w:t>(</w:t>
      </w:r>
      <w:r>
        <w:rPr>
          <w:rStyle w:val="DecValTok"/>
        </w:rPr>
        <w:t>10</w:t>
      </w:r>
      <w:r>
        <w:rPr>
          <w:rStyle w:val="NormalTok"/>
        </w:rPr>
        <w:t xml:space="preserve">, </w:t>
      </w:r>
      <w:r>
        <w:rPr>
          <w:rStyle w:val="DataTypeTok"/>
        </w:rPr>
        <w:t>mean =</w:t>
      </w:r>
      <w:r>
        <w:rPr>
          <w:rStyle w:val="NormalTok"/>
        </w:rPr>
        <w:t xml:space="preserve"> </w:t>
      </w:r>
      <w:r>
        <w:rPr>
          <w:rStyle w:val="DecValTok"/>
        </w:rPr>
        <w:t>100</w:t>
      </w:r>
      <w:r>
        <w:rPr>
          <w:rStyle w:val="NormalTok"/>
        </w:rPr>
        <w:t>,</w:t>
      </w:r>
      <w:r>
        <w:rPr/>
        <w:br/>
      </w:r>
      <w:r>
        <w:rPr>
          <w:rStyle w:val="NormalTok"/>
        </w:rPr>
        <w:t xml:space="preserve">                                         </w:t>
      </w:r>
      <w:r>
        <w:rPr>
          <w:rStyle w:val="DataTypeTok"/>
        </w:rPr>
        <w:t>sd =</w:t>
      </w:r>
      <w:r>
        <w:rPr>
          <w:rStyle w:val="NormalTok"/>
        </w:rPr>
        <w:t xml:space="preserve"> </w:t>
      </w:r>
      <w:r>
        <w:rPr>
          <w:rStyle w:val="DecValTok"/>
        </w:rPr>
        <w:t>30</w:t>
      </w:r>
      <w:r>
        <w:rPr>
          <w:rStyle w:val="NormalTok"/>
        </w:rPr>
        <w:t>))</w:t>
      </w:r>
      <w:r>
        <w:rPr/>
        <w:br/>
        <w:br/>
      </w:r>
      <w:r>
        <w:rPr>
          <w:rStyle w:val="KeywordTok"/>
        </w:rPr>
        <w:t>ggplot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  </w:t>
      </w:r>
      <w:r>
        <w:rPr>
          <w:rStyle w:val="KeywordTok"/>
        </w:rPr>
        <w:t>geom_point</w:t>
      </w:r>
      <w:r>
        <w:rPr>
          <w:rStyle w:val="NormalTok"/>
        </w:rPr>
        <w:t>(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Ozone), </w:t>
      </w:r>
      <w:r>
        <w:rPr>
          <w:rStyle w:val="DataTypeTok"/>
        </w:rPr>
        <w:t>data =</w:t>
      </w:r>
      <w:r>
        <w:rPr>
          <w:rStyle w:val="NormalTok"/>
        </w:rPr>
        <w:t xml:space="preserve"> airquality)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  </w:t>
      </w:r>
      <w:r>
        <w:rPr>
          <w:rStyle w:val="KeywordTok"/>
        </w:rPr>
        <w:t>geom_point</w:t>
      </w:r>
      <w:r>
        <w:rPr>
          <w:rStyle w:val="NormalTok"/>
        </w:rPr>
        <w:t>(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rand_x, </w:t>
      </w:r>
      <w:r>
        <w:rPr>
          <w:rStyle w:val="DataTypeTok"/>
        </w:rPr>
        <w:t>y =</w:t>
      </w:r>
      <w:r>
        <w:rPr>
          <w:rStyle w:val="NormalTok"/>
        </w:rPr>
        <w:t xml:space="preserve"> rand_y), </w:t>
      </w:r>
      <w:r>
        <w:rPr>
          <w:rStyle w:val="DataTypeTok"/>
        </w:rPr>
        <w:t>color =</w:t>
      </w:r>
      <w:r>
        <w:rPr>
          <w:rStyle w:val="NormalTok"/>
        </w:rPr>
        <w:t xml:space="preserve"> </w:t>
      </w:r>
      <w:r>
        <w:rPr>
          <w:rStyle w:val="StringTok"/>
        </w:rPr>
        <w:t>'red'</w:t>
      </w:r>
      <w:r>
        <w:rPr>
          <w:rStyle w:val="NormalTok"/>
        </w:rPr>
        <w:t>,</w:t>
      </w:r>
      <w:r>
        <w:rPr/>
        <w:br/>
      </w:r>
      <w:r>
        <w:rPr>
          <w:rStyle w:val="NormalTok"/>
        </w:rPr>
        <w:t xml:space="preserve">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random_data)</w:t>
      </w:r>
    </w:p>
    <w:p>
      <w:pPr>
        <w:pStyle w:val="FirstParagraph"/>
        <w:rPr/>
      </w:pPr>
      <w:r>
        <w:rPr/>
        <w:drawing>
          <wp:inline distT="0" distB="0" distL="114935" distR="114935">
            <wp:extent cx="4620260" cy="3696335"/>
            <wp:effectExtent l="0" t="0" r="0" b="0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/>
      </w:pPr>
      <w:r>
        <w:rPr/>
        <w:t xml:space="preserve">The first </w:t>
      </w:r>
      <w:r>
        <w:rPr>
          <w:rStyle w:val="VerbatimChar"/>
        </w:rPr>
        <w:t>geom_point()</w:t>
      </w:r>
      <w:r>
        <w:rPr/>
        <w:t xml:space="preserve">-layer creates points for the </w:t>
      </w:r>
      <w:r>
        <w:rPr>
          <w:rStyle w:val="VerbatimChar"/>
        </w:rPr>
        <w:t>airquality</w:t>
      </w:r>
      <w:r>
        <w:rPr/>
        <w:t xml:space="preserve"> data just like before. The second layer uses a dataset with randomly generated values </w:t>
      </w:r>
      <w:r>
        <w:rPr>
          <w:rStyle w:val="VerbatimChar"/>
        </w:rPr>
        <w:t>rand_x</w:t>
      </w:r>
      <w:r>
        <w:rPr/>
        <w:t xml:space="preserve"> and </w:t>
      </w:r>
      <w:r>
        <w:rPr>
          <w:rStyle w:val="VerbatimChar"/>
        </w:rPr>
        <w:t>rand_y</w:t>
      </w:r>
      <w:r>
        <w:rPr/>
        <w:t>. Additionally, the color for those points is set to red.</w:t>
      </w:r>
    </w:p>
    <w:p>
      <w:pPr>
        <w:pStyle w:val="TextBody"/>
        <w:rPr/>
      </w:pPr>
      <w:r>
        <w:rPr/>
        <w:t xml:space="preserve">You can see that </w:t>
      </w:r>
      <w:r>
        <w:rPr>
          <w:rStyle w:val="VerbatimChar"/>
        </w:rPr>
        <w:t>geom_point()</w:t>
      </w:r>
      <w:r>
        <w:rPr/>
        <w:t xml:space="preserve"> has several visual properties (i.e. “aesthetics”): The position on the x and y scale; the color of the points. Some of these properties, like x and y position, are </w:t>
      </w:r>
      <w:r>
        <w:rPr>
          <w:i/>
        </w:rPr>
        <w:t>required</w:t>
      </w:r>
      <w:r>
        <w:rPr/>
        <w:t xml:space="preserve">. They must be mapped to a variable or set to a static value, because otherwise you can’t draw a point. Others, like </w:t>
      </w:r>
      <w:r>
        <w:rPr>
          <w:rStyle w:val="VerbatimChar"/>
        </w:rPr>
        <w:t>color</w:t>
      </w:r>
      <w:r>
        <w:rPr/>
        <w:t xml:space="preserve"> are optional and they have reasonable default values.</w:t>
      </w:r>
    </w:p>
    <w:p>
      <w:pPr>
        <w:pStyle w:val="TextBody"/>
        <w:rPr/>
      </w:pPr>
      <w:r>
        <w:rPr/>
        <w:t xml:space="preserve">All aesthetics can be mapped to a variable, so we can also map </w:t>
      </w:r>
      <w:r>
        <w:rPr>
          <w:rStyle w:val="VerbatimChar"/>
        </w:rPr>
        <w:t>color</w:t>
      </w:r>
      <w:r>
        <w:rPr/>
        <w:t xml:space="preserve"> to a variable (note that the variable is converted to an ordered factor, because otherwise the color would be on a continuous scale):</w:t>
      </w:r>
    </w:p>
    <w:p>
      <w:pPr>
        <w:pStyle w:val="SourceCode"/>
        <w:rPr/>
      </w:pPr>
      <w:r>
        <w:rPr>
          <w:rStyle w:val="CommentTok"/>
        </w:rPr>
        <w:t># here we only pass the dataset to ggplot() and define the aesthetic mapping in the geom layer</w:t>
      </w:r>
      <w:r>
        <w:rPr/>
        <w:br/>
      </w:r>
      <w:r>
        <w:rPr>
          <w:rStyle w:val="KeywordTok"/>
        </w:rPr>
        <w:t>ggplot</w:t>
      </w:r>
      <w:r>
        <w:rPr>
          <w:rStyle w:val="NormalTok"/>
        </w:rPr>
        <w:t xml:space="preserve">(airquality)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  </w:t>
      </w:r>
      <w:r>
        <w:rPr>
          <w:rStyle w:val="KeywordTok"/>
        </w:rPr>
        <w:t>geom_point</w:t>
      </w:r>
      <w:r>
        <w:rPr>
          <w:rStyle w:val="NormalTok"/>
        </w:rPr>
        <w:t>(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Ozone,</w:t>
      </w:r>
      <w:r>
        <w:rPr/>
        <w:br/>
      </w:r>
      <w:r>
        <w:rPr>
          <w:rStyle w:val="NormalTok"/>
        </w:rPr>
        <w:t xml:space="preserve">                   </w:t>
      </w:r>
      <w:r>
        <w:rPr>
          <w:rStyle w:val="DataTypeTok"/>
        </w:rPr>
        <w:t>color =</w:t>
      </w:r>
      <w:r>
        <w:rPr>
          <w:rStyle w:val="NormalTok"/>
        </w:rPr>
        <w:t xml:space="preserve"> </w:t>
      </w:r>
      <w:r>
        <w:rPr>
          <w:rStyle w:val="KeywordTok"/>
        </w:rPr>
        <w:t>as.ordered</w:t>
      </w:r>
      <w:r>
        <w:rPr>
          <w:rStyle w:val="NormalTok"/>
        </w:rPr>
        <w:t>(Month)))</w:t>
      </w:r>
    </w:p>
    <w:p>
      <w:pPr>
        <w:pStyle w:val="FirstParagraph"/>
        <w:rPr/>
      </w:pPr>
      <w:r>
        <w:rPr/>
        <w:drawing>
          <wp:inline distT="0" distB="0" distL="114935" distR="114935">
            <wp:extent cx="4620260" cy="3696335"/>
            <wp:effectExtent l="0" t="0" r="0" b="0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/>
      </w:pPr>
      <w:r>
        <w:rPr/>
        <w:t xml:space="preserve">In order to find out which visual properties of a geom can be controlled, you can use the help document of the respective function, e.g. </w:t>
      </w:r>
      <w:r>
        <w:rPr>
          <w:rStyle w:val="VerbatimChar"/>
        </w:rPr>
        <w:t>?geom_point</w:t>
      </w:r>
      <w:r>
        <w:rPr/>
        <w:t xml:space="preserve"> or </w:t>
      </w:r>
      <w:r>
        <w:rPr>
          <w:rStyle w:val="VerbatimChar"/>
        </w:rPr>
        <w:t>?geom_line</w:t>
      </w:r>
      <w:r>
        <w:rPr/>
        <w:t xml:space="preserve"> and have a look at the section “Aesthetics”.</w:t>
      </w:r>
    </w:p>
    <w:p>
      <w:pPr>
        <w:pStyle w:val="TextBody"/>
        <w:rPr/>
      </w:pPr>
      <w:r>
        <w:rPr>
          <w:i/>
        </w:rPr>
        <w:t>Overplotting</w:t>
      </w:r>
      <w:r>
        <w:rPr/>
        <w:t xml:space="preserve"> can easily occur, especially with large data sets.</w:t>
      </w:r>
    </w:p>
    <w:p>
      <w:pPr>
        <w:pStyle w:val="Compact"/>
        <w:numPr>
          <w:ilvl w:val="0"/>
          <w:numId w:val="2"/>
        </w:numPr>
        <w:rPr/>
      </w:pPr>
      <w:r>
        <w:rPr/>
        <w:t>happens when multiple data points are drawn on the same spot</w:t>
      </w:r>
    </w:p>
    <w:p>
      <w:pPr>
        <w:pStyle w:val="Compact"/>
        <w:numPr>
          <w:ilvl w:val="0"/>
          <w:numId w:val="2"/>
        </w:numPr>
        <w:rPr/>
      </w:pPr>
      <w:r>
        <w:rPr/>
        <w:t xml:space="preserve">fix it with setting a semi-transparent fill color or apply </w:t>
      </w:r>
      <w:r>
        <w:rPr>
          <w:i/>
        </w:rPr>
        <w:t>jittering</w:t>
      </w:r>
    </w:p>
    <w:p>
      <w:pPr>
        <w:pStyle w:val="SourceCode"/>
        <w:rPr/>
      </w:pPr>
      <w:r>
        <w:rPr>
          <w:rStyle w:val="KeywordTok"/>
        </w:rPr>
        <w:t>ggplot</w:t>
      </w:r>
      <w:r>
        <w:rPr>
          <w:rStyle w:val="NormalTok"/>
        </w:rPr>
        <w:t xml:space="preserve">(airquality, 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Ozone))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</w:t>
      </w:r>
      <w:r>
        <w:rPr>
          <w:rStyle w:val="KeywordTok"/>
        </w:rPr>
        <w:t>geom_point</w:t>
      </w:r>
      <w:r>
        <w:rPr>
          <w:rStyle w:val="NormalTok"/>
        </w:rPr>
        <w:t>(</w:t>
      </w:r>
      <w:r>
        <w:rPr>
          <w:rStyle w:val="DataTypeTok"/>
        </w:rPr>
        <w:t>alpha =</w:t>
      </w:r>
      <w:r>
        <w:rPr>
          <w:rStyle w:val="NormalTok"/>
        </w:rPr>
        <w:t xml:space="preserve"> </w:t>
      </w:r>
      <w:r>
        <w:rPr>
          <w:rStyle w:val="FloatTok"/>
        </w:rPr>
        <w:t>0.33</w:t>
      </w:r>
      <w:r>
        <w:rPr>
          <w:rStyle w:val="NormalTok"/>
        </w:rPr>
        <w:t xml:space="preserve">)  </w:t>
      </w:r>
      <w:r>
        <w:rPr>
          <w:rStyle w:val="CommentTok"/>
        </w:rPr>
        <w:t># alpha of 0 is invisible</w:t>
      </w:r>
    </w:p>
    <w:p>
      <w:pPr>
        <w:pStyle w:val="FirstParagraph"/>
        <w:rPr/>
      </w:pPr>
      <w:r>
        <w:rPr/>
        <w:drawing>
          <wp:inline distT="0" distB="0" distL="114935" distR="114935">
            <wp:extent cx="4620260" cy="3696335"/>
            <wp:effectExtent l="0" t="0" r="0" b="0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ourceCode"/>
        <w:rPr/>
      </w:pPr>
      <w:r>
        <w:rPr>
          <w:rStyle w:val="NormalTok"/>
        </w:rPr>
        <w:t xml:space="preserve">                            </w:t>
      </w:r>
      <w:r>
        <w:rPr>
          <w:rStyle w:val="CommentTok"/>
        </w:rPr>
        <w:t># 1 is opaque</w:t>
      </w:r>
    </w:p>
    <w:p>
      <w:pPr>
        <w:pStyle w:val="Heading2"/>
        <w:rPr/>
      </w:pPr>
      <w:bookmarkStart w:id="2" w:name="scales"/>
      <w:bookmarkEnd w:id="2"/>
      <w:r>
        <w:rPr/>
        <w:t>Scales</w:t>
      </w:r>
    </w:p>
    <w:p>
      <w:pPr>
        <w:pStyle w:val="FirstParagraph"/>
        <w:rPr/>
      </w:pPr>
      <w:r>
        <w:rPr/>
        <w:t>Each visual property that a variable maps to, belongs to a scale that you can further adjust. For example, you might apply a log-transformation to the x- and/or y-axis. Or you can also change the color palette that is used for the color of points in a scatterplot. If a scale uses a legend, you can adjust its appearance, change the title or its position, among other things:</w:t>
      </w:r>
    </w:p>
    <w:p>
      <w:pPr>
        <w:pStyle w:val="SourceCode"/>
        <w:rPr/>
      </w:pPr>
      <w:r>
        <w:rPr>
          <w:rStyle w:val="KeywordTok"/>
        </w:rPr>
        <w:t>ggplot</w:t>
      </w:r>
      <w:r>
        <w:rPr>
          <w:rStyle w:val="NormalTok"/>
        </w:rPr>
        <w:t xml:space="preserve">(airquality)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  </w:t>
      </w:r>
      <w:r>
        <w:rPr>
          <w:rStyle w:val="KeywordTok"/>
        </w:rPr>
        <w:t>geom_point</w:t>
      </w:r>
      <w:r>
        <w:rPr>
          <w:rStyle w:val="NormalTok"/>
        </w:rPr>
        <w:t>(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Ozone,</w:t>
      </w:r>
      <w:r>
        <w:rPr/>
        <w:br/>
      </w:r>
      <w:r>
        <w:rPr>
          <w:rStyle w:val="NormalTok"/>
        </w:rPr>
        <w:t xml:space="preserve">                   </w:t>
      </w:r>
      <w:r>
        <w:rPr>
          <w:rStyle w:val="DataTypeTok"/>
        </w:rPr>
        <w:t>color =</w:t>
      </w:r>
      <w:r>
        <w:rPr>
          <w:rStyle w:val="NormalTok"/>
        </w:rPr>
        <w:t xml:space="preserve"> </w:t>
      </w:r>
      <w:r>
        <w:rPr>
          <w:rStyle w:val="KeywordTok"/>
        </w:rPr>
        <w:t>as.ordered</w:t>
      </w:r>
      <w:r>
        <w:rPr>
          <w:rStyle w:val="NormalTok"/>
        </w:rPr>
        <w:t xml:space="preserve">(Month)))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  </w:t>
      </w:r>
      <w:r>
        <w:rPr>
          <w:rStyle w:val="KeywordTok"/>
        </w:rPr>
        <w:t>scale_color_brewer</w:t>
      </w:r>
      <w:r>
        <w:rPr>
          <w:rStyle w:val="NormalTok"/>
        </w:rPr>
        <w:t>(</w:t>
      </w:r>
      <w:r>
        <w:rPr>
          <w:rStyle w:val="DataTypeTok"/>
        </w:rPr>
        <w:t>palette =</w:t>
      </w:r>
      <w:r>
        <w:rPr>
          <w:rStyle w:val="NormalTok"/>
        </w:rPr>
        <w:t xml:space="preserve"> </w:t>
      </w:r>
      <w:r>
        <w:rPr>
          <w:rStyle w:val="StringTok"/>
        </w:rPr>
        <w:t>'Spectral'</w:t>
      </w:r>
      <w:r>
        <w:rPr>
          <w:rStyle w:val="NormalTok"/>
        </w:rPr>
        <w:t>,</w:t>
      </w:r>
      <w:r>
        <w:rPr/>
        <w:br/>
      </w:r>
      <w:r>
        <w:rPr>
          <w:rStyle w:val="NormalTok"/>
        </w:rPr>
        <w:t xml:space="preserve">                       </w:t>
      </w:r>
      <w:r>
        <w:rPr>
          <w:rStyle w:val="DataTypeTok"/>
        </w:rPr>
        <w:t>guide =</w:t>
      </w:r>
      <w:r>
        <w:rPr>
          <w:rStyle w:val="NormalTok"/>
        </w:rPr>
        <w:t xml:space="preserve"> </w:t>
      </w:r>
      <w:r>
        <w:rPr>
          <w:rStyle w:val="KeywordTok"/>
        </w:rPr>
        <w:t>guide_legend</w:t>
      </w:r>
      <w:r>
        <w:rPr>
          <w:rStyle w:val="NormalTok"/>
        </w:rPr>
        <w:t>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'Month'</w:t>
      </w:r>
      <w:r>
        <w:rPr>
          <w:rStyle w:val="NormalTok"/>
        </w:rPr>
        <w:t>))</w:t>
      </w:r>
    </w:p>
    <w:p>
      <w:pPr>
        <w:pStyle w:val="FirstParagraph"/>
        <w:rPr/>
      </w:pPr>
      <w:r>
        <w:rPr/>
        <w:drawing>
          <wp:inline distT="0" distB="0" distL="114935" distR="114935">
            <wp:extent cx="4620260" cy="3696335"/>
            <wp:effectExtent l="0" t="0" r="0" b="0"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rPr/>
      </w:pPr>
      <w:bookmarkStart w:id="3" w:name="facets"/>
      <w:bookmarkEnd w:id="3"/>
      <w:r>
        <w:rPr/>
        <w:t>Facets</w:t>
      </w:r>
    </w:p>
    <w:p>
      <w:pPr>
        <w:pStyle w:val="FirstParagraph"/>
        <w:rPr/>
      </w:pPr>
      <w:r>
        <w:rPr>
          <w:i/>
        </w:rPr>
        <w:t>Facets</w:t>
      </w:r>
      <w:r>
        <w:rPr/>
        <w:t xml:space="preserve"> allow you to create small multiples of your plots. Instead of projecting all data points into a single plot, split them into groups depending on a variable and then create a small plot for each group. You can use </w:t>
      </w:r>
      <w:r>
        <w:rPr>
          <w:rStyle w:val="VerbatimChar"/>
        </w:rPr>
        <w:t>facet_wrap()</w:t>
      </w:r>
      <w:r>
        <w:rPr/>
        <w:t xml:space="preserve"> to do this and specify the variable for splitting as “R formula”, e.g. </w:t>
      </w:r>
      <w:r>
        <w:rPr>
          <w:rStyle w:val="VerbatimChar"/>
        </w:rPr>
        <w:t>~ X</w:t>
      </w:r>
      <w:r>
        <w:rPr/>
        <w:t xml:space="preserve"> where </w:t>
      </w:r>
      <w:r>
        <w:rPr>
          <w:rStyle w:val="VerbatimChar"/>
        </w:rPr>
        <w:t>X</w:t>
      </w:r>
      <w:r>
        <w:rPr/>
        <w:t xml:space="preserve"> is the variable to split by:</w:t>
      </w:r>
    </w:p>
    <w:p>
      <w:pPr>
        <w:pStyle w:val="SourceCode"/>
        <w:rPr/>
      </w:pPr>
      <w:r>
        <w:rPr>
          <w:rStyle w:val="CommentTok"/>
        </w:rPr>
        <w:t># make a plot for each month. convert to ordered factor before</w:t>
      </w:r>
      <w:r>
        <w:rPr/>
        <w:br/>
      </w:r>
      <w:r>
        <w:rPr>
          <w:rStyle w:val="KeywordTok"/>
        </w:rPr>
        <w:t>ggplot</w:t>
      </w:r>
      <w:r>
        <w:rPr>
          <w:rStyle w:val="NormalTok"/>
        </w:rPr>
        <w:t xml:space="preserve">(airquality)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  </w:t>
      </w:r>
      <w:r>
        <w:rPr>
          <w:rStyle w:val="KeywordTok"/>
        </w:rPr>
        <w:t>geom_point</w:t>
      </w:r>
      <w:r>
        <w:rPr>
          <w:rStyle w:val="NormalTok"/>
        </w:rPr>
        <w:t>(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Ozone))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  </w:t>
      </w:r>
      <w:r>
        <w:rPr>
          <w:rStyle w:val="KeywordTok"/>
        </w:rPr>
        <w:t>facet_wrap</w:t>
      </w:r>
      <w:r>
        <w:rPr>
          <w:rStyle w:val="NormalTok"/>
        </w:rPr>
        <w:t>(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as.ordered</w:t>
      </w:r>
      <w:r>
        <w:rPr>
          <w:rStyle w:val="NormalTok"/>
        </w:rPr>
        <w:t>(Month))</w:t>
      </w:r>
    </w:p>
    <w:p>
      <w:pPr>
        <w:pStyle w:val="FirstParagraph"/>
        <w:rPr/>
      </w:pPr>
      <w:r>
        <w:rPr/>
        <w:drawing>
          <wp:inline distT="0" distB="0" distL="114935" distR="114935">
            <wp:extent cx="4620260" cy="3696335"/>
            <wp:effectExtent l="0" t="0" r="0" b="0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/>
      </w:pPr>
      <w:r>
        <w:rPr/>
        <w:t xml:space="preserve">You can specify more options in </w:t>
      </w:r>
      <w:r>
        <w:rPr>
          <w:rStyle w:val="VerbatimChar"/>
        </w:rPr>
        <w:t>facet_wrap()</w:t>
      </w:r>
      <w:r>
        <w:rPr/>
        <w:t>, e.g. restrict the number of rows or columns.</w:t>
      </w:r>
    </w:p>
    <w:p>
      <w:pPr>
        <w:pStyle w:val="SourceCode"/>
        <w:rPr/>
      </w:pPr>
      <w:r>
        <w:rPr>
          <w:rStyle w:val="KeywordTok"/>
        </w:rPr>
        <w:t>ggplot</w:t>
      </w:r>
      <w:r>
        <w:rPr>
          <w:rStyle w:val="NormalTok"/>
        </w:rPr>
        <w:t xml:space="preserve">(airquality)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  </w:t>
      </w:r>
      <w:r>
        <w:rPr>
          <w:rStyle w:val="KeywordTok"/>
        </w:rPr>
        <w:t>geom_point</w:t>
      </w:r>
      <w:r>
        <w:rPr>
          <w:rStyle w:val="NormalTok"/>
        </w:rPr>
        <w:t>(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Ozone))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  </w:t>
      </w:r>
      <w:r>
        <w:rPr>
          <w:rStyle w:val="KeywordTok"/>
        </w:rPr>
        <w:t>facet_wrap</w:t>
      </w:r>
      <w:r>
        <w:rPr>
          <w:rStyle w:val="NormalTok"/>
        </w:rPr>
        <w:t>(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as.ordered</w:t>
      </w:r>
      <w:r>
        <w:rPr>
          <w:rStyle w:val="NormalTok"/>
        </w:rPr>
        <w:t xml:space="preserve">(Month), </w:t>
      </w:r>
      <w:r>
        <w:rPr>
          <w:rStyle w:val="DataTypeTok"/>
        </w:rPr>
        <w:t>nrow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</w:t>
      </w:r>
    </w:p>
    <w:p>
      <w:pPr>
        <w:pStyle w:val="FirstParagraph"/>
        <w:rPr/>
      </w:pPr>
      <w:r>
        <w:rPr/>
        <w:drawing>
          <wp:inline distT="0" distB="0" distL="114935" distR="114935">
            <wp:extent cx="5334000" cy="1666875"/>
            <wp:effectExtent l="0" t="0" r="0" b="0"/>
            <wp:docPr id="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/>
      </w:pPr>
      <w:r>
        <w:rPr/>
        <w:t xml:space="preserve">By default, all plots share the same scales on the axes which ensures better comparability. However, you can change that using the </w:t>
      </w:r>
      <w:r>
        <w:rPr>
          <w:rStyle w:val="VerbatimChar"/>
        </w:rPr>
        <w:t>scales</w:t>
      </w:r>
      <w:r>
        <w:rPr/>
        <w:t xml:space="preserve"> argument.</w:t>
      </w:r>
    </w:p>
    <w:p>
      <w:pPr>
        <w:pStyle w:val="Heading2"/>
        <w:rPr/>
      </w:pPr>
      <w:bookmarkStart w:id="4" w:name="themes"/>
      <w:bookmarkEnd w:id="4"/>
      <w:r>
        <w:rPr/>
        <w:t>Themes</w:t>
      </w:r>
    </w:p>
    <w:p>
      <w:pPr>
        <w:pStyle w:val="FirstParagraph"/>
        <w:rPr/>
      </w:pPr>
      <w:r>
        <w:rPr>
          <w:i/>
        </w:rPr>
        <w:t>Themes</w:t>
      </w:r>
      <w:r>
        <w:rPr/>
        <w:t xml:space="preserve"> control the overall appearance of a plot. There are several predefined themes which define a “plot style”. They are all prefixed by </w:t>
      </w:r>
      <w:r>
        <w:rPr>
          <w:rStyle w:val="VerbatimChar"/>
        </w:rPr>
        <w:t>theme_</w:t>
      </w:r>
      <w:r>
        <w:rPr/>
        <w:t>.</w:t>
      </w:r>
    </w:p>
    <w:p>
      <w:pPr>
        <w:pStyle w:val="TextBody"/>
        <w:rPr/>
      </w:pPr>
      <w:r>
        <w:rPr/>
        <w:t xml:space="preserve">For example, </w:t>
      </w:r>
      <w:r>
        <w:rPr>
          <w:rStyle w:val="VerbatimChar"/>
        </w:rPr>
        <w:t>theme_bw()</w:t>
      </w:r>
      <w:r>
        <w:rPr/>
        <w:t xml:space="preserve"> which is optimized for black and white prints:</w:t>
      </w:r>
    </w:p>
    <w:p>
      <w:pPr>
        <w:pStyle w:val="SourceCode"/>
        <w:rPr/>
      </w:pPr>
      <w:r>
        <w:rPr>
          <w:rStyle w:val="KeywordTok"/>
        </w:rPr>
        <w:t>ggplot</w:t>
      </w:r>
      <w:r>
        <w:rPr>
          <w:rStyle w:val="NormalTok"/>
        </w:rPr>
        <w:t xml:space="preserve">(airquality, 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KeywordTok"/>
        </w:rPr>
        <w:t>geom_point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  </w:t>
      </w:r>
      <w:r>
        <w:rPr>
          <w:rStyle w:val="KeywordTok"/>
        </w:rPr>
        <w:t>theme_bw</w:t>
      </w:r>
      <w:r>
        <w:rPr>
          <w:rStyle w:val="NormalTok"/>
        </w:rPr>
        <w:t>()</w:t>
      </w:r>
    </w:p>
    <w:p>
      <w:pPr>
        <w:pStyle w:val="FirstParagraph"/>
        <w:rPr/>
      </w:pPr>
      <w:r>
        <w:rPr/>
        <w:drawing>
          <wp:inline distT="0" distB="0" distL="114935" distR="114935">
            <wp:extent cx="4620260" cy="3696335"/>
            <wp:effectExtent l="0" t="0" r="0" b="0"/>
            <wp:docPr id="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/>
      </w:pPr>
      <w:r>
        <w:rPr/>
        <w:t>For geo-spatial plots, you can often remove the axis labels and ticks, which can be done like this:</w:t>
      </w:r>
    </w:p>
    <w:p>
      <w:pPr>
        <w:pStyle w:val="SourceCode"/>
        <w:rPr/>
      </w:pPr>
      <w:r>
        <w:rPr>
          <w:rStyle w:val="KeywordTok"/>
        </w:rPr>
        <w:t>ggplot</w:t>
      </w:r>
      <w:r>
        <w:rPr>
          <w:rStyle w:val="NormalTok"/>
        </w:rPr>
        <w:t xml:space="preserve">(airquality, 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KeywordTok"/>
        </w:rPr>
        <w:t>geom_point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  </w:t>
      </w:r>
      <w:r>
        <w:rPr>
          <w:rStyle w:val="KeywordTok"/>
        </w:rPr>
        <w:t>theme</w:t>
      </w:r>
      <w:r>
        <w:rPr>
          <w:rStyle w:val="NormalTok"/>
        </w:rPr>
        <w:t>(</w:t>
      </w:r>
      <w:r>
        <w:rPr>
          <w:rStyle w:val="DataTypeTok"/>
        </w:rPr>
        <w:t>axis.title =</w:t>
      </w:r>
      <w:r>
        <w:rPr>
          <w:rStyle w:val="NormalTok"/>
        </w:rPr>
        <w:t xml:space="preserve"> </w:t>
      </w:r>
      <w:r>
        <w:rPr>
          <w:rStyle w:val="KeywordTok"/>
        </w:rPr>
        <w:t>element_blank</w:t>
      </w:r>
      <w:r>
        <w:rPr>
          <w:rStyle w:val="NormalTok"/>
        </w:rPr>
        <w:t>(),</w:t>
      </w:r>
      <w:r>
        <w:rPr/>
        <w:br/>
      </w:r>
      <w:r>
        <w:rPr>
          <w:rStyle w:val="NormalTok"/>
        </w:rPr>
        <w:t xml:space="preserve">          </w:t>
      </w:r>
      <w:r>
        <w:rPr>
          <w:rStyle w:val="DataTypeTok"/>
        </w:rPr>
        <w:t>axis.ticks =</w:t>
      </w:r>
      <w:r>
        <w:rPr>
          <w:rStyle w:val="NormalTok"/>
        </w:rPr>
        <w:t xml:space="preserve"> </w:t>
      </w:r>
      <w:r>
        <w:rPr>
          <w:rStyle w:val="KeywordTok"/>
        </w:rPr>
        <w:t>element_blank</w:t>
      </w:r>
      <w:r>
        <w:rPr>
          <w:rStyle w:val="NormalTok"/>
        </w:rPr>
        <w:t>(),</w:t>
      </w:r>
      <w:r>
        <w:rPr/>
        <w:br/>
      </w:r>
      <w:r>
        <w:rPr>
          <w:rStyle w:val="NormalTok"/>
        </w:rPr>
        <w:t xml:space="preserve">          </w:t>
      </w:r>
      <w:r>
        <w:rPr>
          <w:rStyle w:val="DataTypeTok"/>
        </w:rPr>
        <w:t>axis.text =</w:t>
      </w:r>
      <w:r>
        <w:rPr>
          <w:rStyle w:val="NormalTok"/>
        </w:rPr>
        <w:t xml:space="preserve"> </w:t>
      </w:r>
      <w:r>
        <w:rPr>
          <w:rStyle w:val="KeywordTok"/>
        </w:rPr>
        <w:t>element_blank</w:t>
      </w:r>
      <w:r>
        <w:rPr>
          <w:rStyle w:val="NormalTok"/>
        </w:rPr>
        <w:t>())</w:t>
      </w:r>
    </w:p>
    <w:p>
      <w:pPr>
        <w:pStyle w:val="FirstParagraph"/>
        <w:rPr/>
      </w:pPr>
      <w:r>
        <w:rPr/>
        <w:drawing>
          <wp:inline distT="0" distB="0" distL="114935" distR="114935">
            <wp:extent cx="4620260" cy="2771775"/>
            <wp:effectExtent l="0" t="0" r="0" b="0"/>
            <wp:docPr id="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/>
      </w:pPr>
      <w:r>
        <w:rPr/>
        <w:t xml:space="preserve">An alternative is </w:t>
      </w:r>
      <w:r>
        <w:rPr>
          <w:rStyle w:val="VerbatimChar"/>
        </w:rPr>
        <w:t>theme_void()</w:t>
      </w:r>
      <w:r>
        <w:rPr/>
        <w:t>, which removes all elements around the actual plot.</w:t>
      </w:r>
    </w:p>
    <w:p>
      <w:pPr>
        <w:pStyle w:val="Heading2"/>
        <w:rPr/>
      </w:pPr>
      <w:bookmarkStart w:id="5" w:name="plots-as-objects"/>
      <w:bookmarkEnd w:id="5"/>
      <w:r>
        <w:rPr/>
        <w:t>Plots as objects</w:t>
      </w:r>
    </w:p>
    <w:p>
      <w:pPr>
        <w:pStyle w:val="FirstParagraph"/>
        <w:rPr/>
      </w:pPr>
      <w:r>
        <w:rPr/>
        <w:t>A ggplot object can be assigned a name just as any other object in R:</w:t>
      </w:r>
    </w:p>
    <w:p>
      <w:pPr>
        <w:pStyle w:val="SourceCode"/>
        <w:rPr/>
      </w:pPr>
      <w:r>
        <w:rPr>
          <w:rStyle w:val="NormalTok"/>
        </w:rPr>
        <w:t>myplot &lt;-</w:t>
      </w:r>
      <w:r>
        <w:rPr>
          <w:rStyle w:val="StringTok"/>
        </w:rPr>
        <w:t xml:space="preserve"> </w:t>
      </w:r>
      <w:r>
        <w:rPr>
          <w:rStyle w:val="KeywordTok"/>
        </w:rPr>
        <w:t>ggplot</w:t>
      </w:r>
      <w:r>
        <w:rPr>
          <w:rStyle w:val="NormalTok"/>
        </w:rPr>
        <w:t xml:space="preserve">(airquality, 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Ozone))</w:t>
      </w:r>
      <w:r>
        <w:rPr/>
        <w:br/>
      </w:r>
      <w:r>
        <w:rPr>
          <w:rStyle w:val="NormalTok"/>
        </w:rPr>
        <w:t xml:space="preserve">myplot   </w:t>
      </w:r>
      <w:r>
        <w:rPr>
          <w:rStyle w:val="CommentTok"/>
        </w:rPr>
        <w:t># shows an "empty" plot</w:t>
      </w:r>
    </w:p>
    <w:p>
      <w:pPr>
        <w:pStyle w:val="FirstParagraph"/>
        <w:rPr/>
      </w:pPr>
      <w:r>
        <w:rPr/>
        <w:t>You can re-use the ggplot object and try out different layers or themes:</w:t>
      </w:r>
    </w:p>
    <w:p>
      <w:pPr>
        <w:pStyle w:val="SourceCode"/>
        <w:rPr/>
      </w:pPr>
      <w:r>
        <w:rPr>
          <w:rStyle w:val="NormalTok"/>
        </w:rPr>
        <w:t xml:space="preserve">myplot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KeywordTok"/>
        </w:rPr>
        <w:t>geom_point</w:t>
      </w:r>
      <w:r>
        <w:rPr>
          <w:rStyle w:val="NormalTok"/>
        </w:rPr>
        <w:t>()</w:t>
      </w:r>
    </w:p>
    <w:p>
      <w:pPr>
        <w:pStyle w:val="SourceCode"/>
        <w:rPr/>
      </w:pPr>
      <w:r>
        <w:rPr>
          <w:rStyle w:val="NormalTok"/>
        </w:rPr>
        <w:t xml:space="preserve">myplot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KeywordTok"/>
        </w:rPr>
        <w:t>geom_point</w:t>
      </w:r>
      <w:r>
        <w:rPr>
          <w:rStyle w:val="NormalTok"/>
        </w:rPr>
        <w:t>(</w:t>
      </w:r>
      <w:r>
        <w:rPr>
          <w:rStyle w:val="DataTypeTok"/>
        </w:rPr>
        <w:t>position =</w:t>
      </w:r>
      <w:r>
        <w:rPr>
          <w:rStyle w:val="NormalTok"/>
        </w:rPr>
        <w:t xml:space="preserve"> </w:t>
      </w:r>
      <w:r>
        <w:rPr>
          <w:rStyle w:val="KeywordTok"/>
        </w:rPr>
        <w:t>position_jitter</w:t>
      </w:r>
      <w:r>
        <w:rPr>
          <w:rStyle w:val="NormalTok"/>
        </w:rPr>
        <w:t xml:space="preserve">())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  </w:t>
      </w:r>
      <w:r>
        <w:rPr>
          <w:rStyle w:val="KeywordTok"/>
        </w:rPr>
        <w:t>theme_minimal</w:t>
      </w:r>
      <w:r>
        <w:rPr>
          <w:rStyle w:val="NormalTok"/>
        </w:rPr>
        <w:t>()</w:t>
      </w:r>
    </w:p>
    <w:p>
      <w:pPr>
        <w:pStyle w:val="FirstParagraph"/>
        <w:rPr/>
      </w:pPr>
      <w:r>
        <w:rPr/>
        <w:t xml:space="preserve">You can eventually save the plot to disk with </w:t>
      </w:r>
      <w:r>
        <w:rPr>
          <w:rStyle w:val="VerbatimChar"/>
        </w:rPr>
        <w:t>ggsave()</w:t>
      </w:r>
      <w:r>
        <w:rPr/>
        <w:t>:</w:t>
      </w:r>
    </w:p>
    <w:p>
      <w:pPr>
        <w:pStyle w:val="SourceCode"/>
        <w:rPr/>
      </w:pPr>
      <w:r>
        <w:rPr>
          <w:rStyle w:val="NormalTok"/>
        </w:rPr>
        <w:t>final_plot &lt;-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myplot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KeywordTok"/>
        </w:rPr>
        <w:t>geom_point</w:t>
      </w:r>
      <w:r>
        <w:rPr>
          <w:rStyle w:val="NormalTok"/>
        </w:rPr>
        <w:t>(</w:t>
      </w:r>
      <w:r>
        <w:rPr>
          <w:rStyle w:val="DataTypeTok"/>
        </w:rPr>
        <w:t>position =</w:t>
      </w:r>
      <w:r>
        <w:rPr>
          <w:rStyle w:val="NormalTok"/>
        </w:rPr>
        <w:t xml:space="preserve"> </w:t>
      </w:r>
      <w:r>
        <w:rPr>
          <w:rStyle w:val="KeywordTok"/>
        </w:rPr>
        <w:t>position_jitter</w:t>
      </w:r>
      <w:r>
        <w:rPr>
          <w:rStyle w:val="NormalTok"/>
        </w:rPr>
        <w:t>())</w:t>
      </w:r>
      <w:r>
        <w:rPr/>
        <w:br/>
      </w:r>
      <w:r>
        <w:rPr>
          <w:rStyle w:val="KeywordTok"/>
        </w:rPr>
        <w:t>ggsave</w:t>
      </w:r>
      <w:r>
        <w:rPr>
          <w:rStyle w:val="NormalTok"/>
        </w:rPr>
        <w:t>(</w:t>
      </w:r>
      <w:r>
        <w:rPr>
          <w:rStyle w:val="StringTok"/>
        </w:rPr>
        <w:t>'example_saved_figure.png'</w:t>
      </w:r>
      <w:r>
        <w:rPr>
          <w:rStyle w:val="NormalTok"/>
        </w:rPr>
        <w:t>,</w:t>
      </w:r>
      <w:r>
        <w:rPr/>
        <w:br/>
      </w:r>
      <w:r>
        <w:rPr>
          <w:rStyle w:val="NormalTok"/>
        </w:rPr>
        <w:t xml:space="preserve">       </w:t>
      </w:r>
      <w:r>
        <w:rPr>
          <w:rStyle w:val="DataTypeTok"/>
        </w:rPr>
        <w:t>plot =</w:t>
      </w:r>
      <w:r>
        <w:rPr>
          <w:rStyle w:val="NormalTok"/>
        </w:rPr>
        <w:t xml:space="preserve"> final_plot,</w:t>
      </w:r>
      <w:r>
        <w:rPr/>
        <w:br/>
      </w:r>
      <w:r>
        <w:rPr>
          <w:rStyle w:val="NormalTok"/>
        </w:rPr>
        <w:t xml:space="preserve">       </w:t>
      </w:r>
      <w:r>
        <w:rPr>
          <w:rStyle w:val="DataTypeTok"/>
        </w:rPr>
        <w:t>width =</w:t>
      </w:r>
      <w:r>
        <w:rPr>
          <w:rStyle w:val="NormalTok"/>
        </w:rPr>
        <w:t xml:space="preserve"> 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/>
        <w:br/>
      </w:r>
      <w:r>
        <w:rPr>
          <w:rStyle w:val="NormalTok"/>
        </w:rPr>
        <w:t xml:space="preserve">       </w:t>
      </w:r>
      <w:r>
        <w:rPr>
          <w:rStyle w:val="DataTypeTok"/>
        </w:rPr>
        <w:t>height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>)</w:t>
      </w:r>
    </w:p>
    <w:p>
      <w:pPr>
        <w:pStyle w:val="FirstParagraph"/>
        <w:rPr/>
      </w:pPr>
      <w:r>
        <w:rPr/>
        <w:t xml:space="preserve">There are several options to configure the output file (see </w:t>
      </w:r>
      <w:r>
        <w:rPr>
          <w:rStyle w:val="VerbatimChar"/>
        </w:rPr>
        <w:t>?ggsave</w:t>
      </w:r>
      <w:r>
        <w:rPr/>
        <w:t>):</w:t>
      </w:r>
    </w:p>
    <w:p>
      <w:pPr>
        <w:pStyle w:val="Compact"/>
        <w:numPr>
          <w:ilvl w:val="0"/>
          <w:numId w:val="3"/>
        </w:numPr>
        <w:rPr/>
      </w:pPr>
      <w:r>
        <w:rPr/>
        <w:t>plot dimensions (by default in inch)</w:t>
      </w:r>
    </w:p>
    <w:p>
      <w:pPr>
        <w:pStyle w:val="Compact"/>
        <w:numPr>
          <w:ilvl w:val="0"/>
          <w:numId w:val="3"/>
        </w:numPr>
        <w:rPr/>
      </w:pPr>
      <w:r>
        <w:rPr/>
        <w:t>plot resolution</w:t>
      </w:r>
    </w:p>
    <w:p>
      <w:pPr>
        <w:pStyle w:val="Compact"/>
        <w:numPr>
          <w:ilvl w:val="0"/>
          <w:numId w:val="3"/>
        </w:numPr>
        <w:rPr/>
      </w:pPr>
      <w:r>
        <w:rPr/>
        <w:t>format (PNG, PDF, etc.) – determined by file extension</w:t>
      </w:r>
    </w:p>
    <w:p>
      <w:pPr>
        <w:pStyle w:val="Heading2"/>
        <w:rPr/>
      </w:pPr>
      <w:bookmarkStart w:id="6" w:name="common-mistakes"/>
      <w:bookmarkEnd w:id="6"/>
      <w:r>
        <w:rPr/>
        <w:t>Common mistakes</w:t>
      </w:r>
    </w:p>
    <w:p>
      <w:pPr>
        <w:pStyle w:val="FirstParagraph"/>
        <w:rPr/>
      </w:pPr>
      <w:r>
        <w:rPr/>
        <w:t xml:space="preserve">A very common mistake is to accidentally put </w:t>
      </w:r>
      <w:r>
        <w:rPr>
          <w:rStyle w:val="VerbatimChar"/>
        </w:rPr>
        <w:t>+</w:t>
      </w:r>
      <w:r>
        <w:rPr/>
        <w:t xml:space="preserve"> on a new line:</w:t>
      </w:r>
    </w:p>
    <w:p>
      <w:pPr>
        <w:pStyle w:val="SourceCode"/>
        <w:rPr/>
      </w:pPr>
      <w:r>
        <w:rPr>
          <w:rStyle w:val="KeywordTok"/>
        </w:rPr>
        <w:t>ggplot</w:t>
      </w:r>
      <w:r>
        <w:rPr>
          <w:rStyle w:val="NormalTok"/>
        </w:rPr>
        <w:t xml:space="preserve">(airquality, 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Ozone))</w:t>
      </w:r>
      <w:r>
        <w:rPr/>
        <w:br/>
      </w:r>
      <w:r>
        <w:rPr>
          <w:rStyle w:val="NormalTok"/>
        </w:rPr>
        <w:t xml:space="preserve"> 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KeywordTok"/>
        </w:rPr>
        <w:t>geom_point</w:t>
      </w:r>
      <w:r>
        <w:rPr>
          <w:rStyle w:val="NormalTok"/>
        </w:rPr>
        <w:t>()</w:t>
      </w:r>
    </w:p>
    <w:p>
      <w:pPr>
        <w:pStyle w:val="FirstParagraph"/>
        <w:rPr/>
      </w:pPr>
      <w:r>
        <w:rPr>
          <w:rStyle w:val="VerbatimChar"/>
        </w:rPr>
        <w:t>Error: Cannot use "+.gg()" with a single argument. Did you accidentally put + on a new line?</w:t>
      </w:r>
    </w:p>
    <w:p>
      <w:pPr>
        <w:pStyle w:val="TextBody"/>
        <w:rPr/>
      </w:pPr>
      <w:r>
        <w:rPr/>
        <w:t xml:space="preserve">The </w:t>
      </w:r>
      <w:r>
        <w:rPr>
          <w:rStyle w:val="VerbatimChar"/>
        </w:rPr>
        <w:t>+</w:t>
      </w:r>
      <w:r>
        <w:rPr/>
        <w:t xml:space="preserve"> operator must appear before the line break (the same is true for other operators like </w:t>
      </w:r>
      <w:r>
        <w:rPr>
          <w:rStyle w:val="VerbatimChar"/>
        </w:rPr>
        <w:t>%&gt;%</w:t>
      </w:r>
      <w:r>
        <w:rPr/>
        <w:t xml:space="preserve"> used in </w:t>
      </w:r>
      <w:r>
        <w:rPr>
          <w:i/>
        </w:rPr>
        <w:t>dplyr</w:t>
      </w:r>
      <w:r>
        <w:rPr/>
        <w:t>):</w:t>
      </w:r>
    </w:p>
    <w:p>
      <w:pPr>
        <w:pStyle w:val="SourceCode"/>
        <w:rPr/>
      </w:pPr>
      <w:r>
        <w:rPr>
          <w:rStyle w:val="KeywordTok"/>
        </w:rPr>
        <w:t>ggplot</w:t>
      </w:r>
      <w:r>
        <w:rPr>
          <w:rStyle w:val="NormalTok"/>
        </w:rPr>
        <w:t xml:space="preserve">(airquality, 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Ozone))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</w:t>
      </w:r>
      <w:r>
        <w:rPr>
          <w:rStyle w:val="KeywordTok"/>
        </w:rPr>
        <w:t>geom_point</w:t>
      </w:r>
      <w:r>
        <w:rPr>
          <w:rStyle w:val="NormalTok"/>
        </w:rPr>
        <w:t>()</w:t>
      </w:r>
    </w:p>
    <w:p>
      <w:pPr>
        <w:pStyle w:val="FirstParagraph"/>
        <w:rPr/>
      </w:pPr>
      <w:r>
        <w:rPr/>
        <w:t>The type of your variables determines its scale for plotting. E.g. here you might want to use a discrete scale:</w:t>
      </w:r>
    </w:p>
    <w:p>
      <w:pPr>
        <w:pStyle w:val="SourceCode"/>
        <w:rPr/>
      </w:pPr>
      <w:r>
        <w:rPr>
          <w:rStyle w:val="KeywordTok"/>
        </w:rPr>
        <w:t>ggplot</w:t>
      </w:r>
      <w:r>
        <w:rPr>
          <w:rStyle w:val="NormalTok"/>
        </w:rPr>
        <w:t xml:space="preserve">(airquality, 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Ozone, </w:t>
      </w:r>
      <w:r>
        <w:rPr>
          <w:rStyle w:val="DataTypeTok"/>
        </w:rPr>
        <w:t>color =</w:t>
      </w:r>
      <w:r>
        <w:rPr>
          <w:rStyle w:val="NormalTok"/>
        </w:rPr>
        <w:t xml:space="preserve"> Month))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</w:t>
      </w:r>
      <w:r>
        <w:rPr>
          <w:rStyle w:val="KeywordTok"/>
        </w:rPr>
        <w:t>geom_point</w:t>
      </w:r>
      <w:r>
        <w:rPr>
          <w:rStyle w:val="NormalTok"/>
        </w:rPr>
        <w:t>()</w:t>
      </w:r>
    </w:p>
    <w:p>
      <w:pPr>
        <w:pStyle w:val="FirstParagraph"/>
        <w:rPr/>
      </w:pPr>
      <w:r>
        <w:rPr/>
        <w:drawing>
          <wp:inline distT="0" distB="0" distL="114935" distR="114935">
            <wp:extent cx="4620260" cy="3696335"/>
            <wp:effectExtent l="0" t="0" r="0" b="0"/>
            <wp:docPr id="10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/>
      </w:pPr>
      <w:r>
        <w:rPr/>
        <w:t>Converting the numerical to a factor tells ggplot that a discrete scale is appropriate:</w:t>
      </w:r>
    </w:p>
    <w:p>
      <w:pPr>
        <w:pStyle w:val="SourceCode"/>
        <w:rPr/>
      </w:pPr>
      <w:r>
        <w:rPr>
          <w:rStyle w:val="KeywordTok"/>
        </w:rPr>
        <w:t>ggplot</w:t>
      </w:r>
      <w:r>
        <w:rPr>
          <w:rStyle w:val="NormalTok"/>
        </w:rPr>
        <w:t xml:space="preserve">(airquality, 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Temp, </w:t>
      </w:r>
      <w:r>
        <w:rPr>
          <w:rStyle w:val="DataTypeTok"/>
        </w:rPr>
        <w:t>y =</w:t>
      </w:r>
      <w:r>
        <w:rPr>
          <w:rStyle w:val="NormalTok"/>
        </w:rPr>
        <w:t xml:space="preserve"> Ozone, </w:t>
      </w:r>
      <w:r>
        <w:rPr>
          <w:rStyle w:val="DataTypeTok"/>
        </w:rPr>
        <w:t>color =</w:t>
      </w:r>
      <w:r>
        <w:rPr>
          <w:rStyle w:val="NormalTok"/>
        </w:rPr>
        <w:t xml:space="preserve"> </w:t>
      </w:r>
      <w:r>
        <w:rPr>
          <w:rStyle w:val="KeywordTok"/>
        </w:rPr>
        <w:t>as.factor</w:t>
      </w:r>
      <w:r>
        <w:rPr>
          <w:rStyle w:val="NormalTok"/>
        </w:rPr>
        <w:t xml:space="preserve">(Month))) </w:t>
      </w:r>
      <w:r>
        <w:rPr>
          <w:rStyle w:val="OperatorTok"/>
        </w:rPr>
        <w:t>+</w:t>
      </w:r>
      <w:r>
        <w:rPr/>
        <w:br/>
      </w:r>
      <w:r>
        <w:rPr>
          <w:rStyle w:val="StringTok"/>
        </w:rPr>
        <w:t xml:space="preserve">  </w:t>
      </w:r>
      <w:r>
        <w:rPr>
          <w:rStyle w:val="KeywordTok"/>
        </w:rPr>
        <w:t>geom_point</w:t>
      </w:r>
      <w:r>
        <w:rPr>
          <w:rStyle w:val="NormalTok"/>
        </w:rPr>
        <w:t>()</w:t>
      </w:r>
    </w:p>
    <w:p>
      <w:pPr>
        <w:pStyle w:val="FirstParagraph"/>
        <w:rPr/>
      </w:pPr>
      <w:r>
        <w:rPr/>
        <w:drawing>
          <wp:inline distT="0" distB="0" distL="114935" distR="114935">
            <wp:extent cx="4620260" cy="3696335"/>
            <wp:effectExtent l="0" t="0" r="0" b="0"/>
            <wp:docPr id="1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rPr/>
      </w:pPr>
      <w:bookmarkStart w:id="7" w:name="data-linkage-with-dplyr"/>
      <w:bookmarkEnd w:id="7"/>
      <w:r>
        <w:rPr/>
        <w:t xml:space="preserve">Data linkage with </w:t>
      </w:r>
      <w:r>
        <w:rPr>
          <w:i/>
        </w:rPr>
        <w:t>dplyr</w:t>
      </w:r>
    </w:p>
    <w:p>
      <w:pPr>
        <w:pStyle w:val="Heading2"/>
        <w:rPr/>
      </w:pPr>
      <w:bookmarkStart w:id="8" w:name="left-and-right-outer-joins"/>
      <w:bookmarkEnd w:id="8"/>
      <w:r>
        <w:rPr/>
        <w:t>Left and right (outer) joins</w:t>
      </w:r>
    </w:p>
    <w:p>
      <w:pPr>
        <w:pStyle w:val="FirstParagraph"/>
        <w:rPr/>
      </w:pPr>
      <w:r>
        <w:rPr>
          <w:i/>
        </w:rPr>
        <w:t>Left and right outer joins</w:t>
      </w:r>
      <w:r>
        <w:rPr/>
        <w:t xml:space="preserve"> keep all observations on the left-hand or right-hand side data sets respectively. Unmatched rows are filled up with </w:t>
      </w:r>
      <w:r>
        <w:rPr>
          <w:i/>
        </w:rPr>
        <w:t>NA</w:t>
      </w:r>
      <w:r>
        <w:rPr/>
        <w:t>s:</w:t>
      </w:r>
    </w:p>
    <w:p>
      <w:pPr>
        <w:pStyle w:val="TextBody"/>
        <w:rPr/>
      </w:pPr>
      <w:r>
        <w:rPr/>
        <w:t xml:space="preserve">Syntax: </w:t>
      </w:r>
      <w:r>
        <w:rPr>
          <w:rStyle w:val="VerbatimChar"/>
        </w:rPr>
        <w:t>inner_join(a, b, by = &lt;criterion&gt;)</w:t>
      </w:r>
    </w:p>
    <w:p>
      <w:pPr>
        <w:pStyle w:val="FigurewithCaption"/>
        <w:rPr/>
      </w:pPr>
      <w:r>
        <w:rPr/>
        <w:drawing>
          <wp:inline distT="0" distB="0" distL="114935" distR="114935">
            <wp:extent cx="2964815" cy="2705735"/>
            <wp:effectExtent l="0" t="0" r="0" b="0"/>
            <wp:docPr id="12" name="Image11" descr="Left and right join. Source: Grolemund, Wickham 2017: R for Data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" descr="Left and right join. Source: Grolemund, Wickham 2017: R for Data Scienc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mageCaption"/>
        <w:rPr/>
      </w:pPr>
      <w:r>
        <w:rPr/>
        <w:t>Left and right join. Source: Grolemund, Wickham 2017: R for Data Science</w:t>
      </w:r>
    </w:p>
    <w:p>
      <w:pPr>
        <w:pStyle w:val="Heading2"/>
        <w:rPr/>
      </w:pPr>
      <w:bookmarkStart w:id="9" w:name="inner-joins"/>
      <w:bookmarkEnd w:id="9"/>
      <w:r>
        <w:rPr/>
        <w:t>Inner joins</w:t>
      </w:r>
    </w:p>
    <w:p>
      <w:pPr>
        <w:pStyle w:val="FirstParagraph"/>
        <w:rPr/>
      </w:pPr>
      <w:r>
        <w:rPr/>
        <w:t xml:space="preserve">An </w:t>
      </w:r>
      <w:r>
        <w:rPr>
          <w:i/>
        </w:rPr>
        <w:t>inner join</w:t>
      </w:r>
      <w:r>
        <w:rPr/>
        <w:t xml:space="preserve"> matches keys that appear in both data sets and returns the combined observations:</w:t>
      </w:r>
    </w:p>
    <w:p>
      <w:pPr>
        <w:pStyle w:val="FigurewithCaption"/>
        <w:rPr/>
      </w:pPr>
      <w:r>
        <w:rPr/>
        <w:drawing>
          <wp:inline distT="0" distB="0" distL="114935" distR="114935">
            <wp:extent cx="2822575" cy="1060450"/>
            <wp:effectExtent l="0" t="0" r="0" b="0"/>
            <wp:docPr id="13" name="Image12" descr="Inner join. Source: Grolemund, Wickham 2017: R for Data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" descr="Inner join. Source: Grolemund, Wickham 2017: R for Data Scienc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mageCaption"/>
        <w:rPr/>
      </w:pPr>
      <w:r>
        <w:rPr/>
        <w:t>Inner join. Source: Grolemund, Wickham 2017: R for Data Science</w:t>
      </w:r>
    </w:p>
    <w:p>
      <w:pPr>
        <w:pStyle w:val="TextBody"/>
        <w:rPr/>
      </w:pPr>
      <w:r>
        <w:rPr/>
        <w:t xml:space="preserve">Syntax: </w:t>
      </w:r>
      <w:r>
        <w:rPr>
          <w:rStyle w:val="VerbatimChar"/>
        </w:rPr>
        <w:t>inner_join(a, b, by = &lt;criterion&gt;)</w:t>
      </w:r>
    </w:p>
    <w:p>
      <w:pPr>
        <w:pStyle w:val="Heading2"/>
        <w:rPr/>
      </w:pPr>
      <w:bookmarkStart w:id="10" w:name="specifying-matching-criteria"/>
      <w:bookmarkEnd w:id="10"/>
      <w:r>
        <w:rPr/>
        <w:t>Specifying matching criteria</w:t>
      </w:r>
    </w:p>
    <w:p>
      <w:pPr>
        <w:pStyle w:val="FirstParagraph"/>
        <w:rPr/>
      </w:pPr>
      <w:r>
        <w:rPr/>
        <w:t xml:space="preserve">Parameter </w:t>
      </w:r>
      <w:r>
        <w:rPr>
          <w:rStyle w:val="VerbatimChar"/>
        </w:rPr>
        <w:t>by</w:t>
      </w:r>
      <w:r>
        <w:rPr/>
        <w:t xml:space="preserve"> can be:</w:t>
      </w:r>
    </w:p>
    <w:p>
      <w:pPr>
        <w:pStyle w:val="Compact"/>
        <w:numPr>
          <w:ilvl w:val="0"/>
          <w:numId w:val="4"/>
        </w:numPr>
        <w:rPr/>
      </w:pPr>
      <w:r>
        <w:rPr/>
        <w:t xml:space="preserve">a character string specifying the key for both sides, e.g.: </w:t>
      </w:r>
      <w:r>
        <w:rPr>
          <w:rStyle w:val="VerbatimChar"/>
        </w:rPr>
        <w:t>inner_join(pm, city_coords, by = 'city')</w:t>
      </w:r>
      <w:r>
        <w:rPr/>
        <w:t xml:space="preserve"> will match </w:t>
      </w:r>
      <w:r>
        <w:rPr>
          <w:rStyle w:val="VerbatimChar"/>
        </w:rPr>
        <w:t>city</w:t>
      </w:r>
      <w:r>
        <w:rPr/>
        <w:t xml:space="preserve"> column in </w:t>
      </w:r>
      <w:r>
        <w:rPr>
          <w:rStyle w:val="VerbatimChar"/>
        </w:rPr>
        <w:t>pm</w:t>
      </w:r>
      <w:r>
        <w:rPr/>
        <w:t xml:space="preserve"> with </w:t>
      </w:r>
      <w:r>
        <w:rPr>
          <w:rStyle w:val="VerbatimChar"/>
        </w:rPr>
        <w:t>city</w:t>
      </w:r>
      <w:r>
        <w:rPr/>
        <w:t xml:space="preserve"> column in </w:t>
      </w:r>
      <w:r>
        <w:rPr>
          <w:rStyle w:val="VerbatimChar"/>
        </w:rPr>
        <w:t>city_coords</w:t>
      </w:r>
      <w:r>
        <w:rPr/>
        <w:t>;</w:t>
      </w:r>
    </w:p>
    <w:p>
      <w:pPr>
        <w:pStyle w:val="Compact"/>
        <w:numPr>
          <w:ilvl w:val="0"/>
          <w:numId w:val="4"/>
        </w:numPr>
        <w:rPr/>
      </w:pPr>
      <w:r>
        <w:rPr/>
        <w:t xml:space="preserve">a vector of character strings specifying several keys to match both sides, e.g.: </w:t>
      </w:r>
      <w:r>
        <w:rPr>
          <w:rStyle w:val="VerbatimChar"/>
        </w:rPr>
        <w:t>inner_join(pm, city_coords, by = c('city', 'country')</w:t>
      </w:r>
      <w:r>
        <w:rPr/>
        <w:t xml:space="preserve"> will match those rows, where </w:t>
      </w:r>
      <w:r>
        <w:rPr>
          <w:rStyle w:val="VerbatimChar"/>
        </w:rPr>
        <w:t>city</w:t>
      </w:r>
      <w:r>
        <w:rPr/>
        <w:t xml:space="preserve"> </w:t>
      </w:r>
      <w:r>
        <w:rPr>
          <w:i/>
        </w:rPr>
        <w:t>and</w:t>
      </w:r>
      <w:r>
        <w:rPr/>
        <w:t xml:space="preserve"> </w:t>
      </w:r>
      <w:r>
        <w:rPr>
          <w:rStyle w:val="VerbatimChar"/>
        </w:rPr>
        <w:t>country</w:t>
      </w:r>
      <w:r>
        <w:rPr/>
        <w:t xml:space="preserve"> columns match;</w:t>
      </w:r>
    </w:p>
    <w:p>
      <w:pPr>
        <w:pStyle w:val="Compact"/>
        <w:numPr>
          <w:ilvl w:val="0"/>
          <w:numId w:val="4"/>
        </w:numPr>
        <w:rPr/>
      </w:pPr>
      <w:r>
        <w:rPr/>
        <w:t xml:space="preserve">a </w:t>
      </w:r>
      <w:r>
        <w:rPr>
          <w:i/>
        </w:rPr>
        <w:t>named</w:t>
      </w:r>
      <w:r>
        <w:rPr/>
        <w:t xml:space="preserve"> character string vector like </w:t>
      </w:r>
      <w:r>
        <w:rPr>
          <w:rStyle w:val="VerbatimChar"/>
        </w:rPr>
        <w:t>inner_join(pm, city_coords, by = c('cityname' = 'id')</w:t>
      </w:r>
      <w:r>
        <w:rPr/>
        <w:t xml:space="preserve">, which will match the column </w:t>
      </w:r>
      <w:r>
        <w:rPr>
          <w:rStyle w:val="VerbatimChar"/>
        </w:rPr>
        <w:t>cityname</w:t>
      </w:r>
      <w:r>
        <w:rPr/>
        <w:t xml:space="preserve"> in </w:t>
      </w:r>
      <w:r>
        <w:rPr>
          <w:rStyle w:val="VerbatimChar"/>
        </w:rPr>
        <w:t>pm</w:t>
      </w:r>
      <w:r>
        <w:rPr/>
        <w:t xml:space="preserve"> with the column </w:t>
      </w:r>
      <w:r>
        <w:rPr>
          <w:rStyle w:val="VerbatimChar"/>
        </w:rPr>
        <w:t>id</w:t>
      </w:r>
      <w:r>
        <w:rPr/>
        <w:t xml:space="preserve"> in </w:t>
      </w:r>
      <w:r>
        <w:rPr>
          <w:rStyle w:val="VerbatimChar"/>
        </w:rPr>
        <w:t>city_coords</w:t>
      </w:r>
    </w:p>
    <w:p>
      <w:pPr>
        <w:pStyle w:val="Heading1"/>
        <w:rPr/>
      </w:pPr>
      <w:bookmarkStart w:id="11" w:name="specific-hints-further-information-for-e"/>
      <w:bookmarkEnd w:id="11"/>
      <w:r>
        <w:rPr/>
        <w:t>Specific hints / further information for excercises</w:t>
      </w:r>
    </w:p>
    <w:p>
      <w:pPr>
        <w:pStyle w:val="Heading2"/>
        <w:rPr/>
      </w:pPr>
      <w:bookmarkStart w:id="12" w:name="exercise-2"/>
      <w:bookmarkEnd w:id="12"/>
      <w:r>
        <w:rPr/>
        <w:t>Exercise 2</w:t>
      </w:r>
    </w:p>
    <w:p>
      <w:pPr>
        <w:pStyle w:val="Heading3"/>
        <w:rPr/>
      </w:pPr>
      <w:bookmarkStart w:id="13" w:name="finding-out-geo-coordinates"/>
      <w:bookmarkEnd w:id="13"/>
      <w:r>
        <w:rPr/>
        <w:t>Finding out geo-coordinates</w:t>
      </w:r>
    </w:p>
    <w:p>
      <w:pPr>
        <w:pStyle w:val="FirstParagraph"/>
        <w:rPr/>
      </w:pPr>
      <w:r>
        <w:rPr/>
        <w:t>We will later learn how to use the Google Maps API to geocode (i.e. get the geo-coordinates) places programmatically. For the purpose of this excerise, it’s enough to do it manually.</w:t>
      </w:r>
    </w:p>
    <w:p>
      <w:pPr>
        <w:pStyle w:val="TextBody"/>
        <w:rPr/>
      </w:pPr>
      <w:r>
        <w:rPr/>
        <w:t>There are several websites that offer free manual geocoding, e.g.:</w:t>
      </w:r>
    </w:p>
    <w:p>
      <w:pPr>
        <w:pStyle w:val="Compact"/>
        <w:numPr>
          <w:ilvl w:val="0"/>
          <w:numId w:val="5"/>
        </w:numPr>
        <w:rPr/>
      </w:pPr>
      <w:hyperlink r:id="rId17">
        <w:r>
          <w:rPr>
            <w:rStyle w:val="InternetLink"/>
          </w:rPr>
          <w:t>https://google-developers.appspot.com/maps/documentation/utils/geocoder/</w:t>
        </w:r>
      </w:hyperlink>
    </w:p>
    <w:p>
      <w:pPr>
        <w:pStyle w:val="Compact"/>
        <w:numPr>
          <w:ilvl w:val="0"/>
          <w:numId w:val="5"/>
        </w:numPr>
        <w:rPr/>
      </w:pPr>
      <w:hyperlink r:id="rId18">
        <w:r>
          <w:rPr>
            <w:rStyle w:val="InternetLink"/>
          </w:rPr>
          <w:t>https://www.mapdevelopers.com/geocode_tool.php</w:t>
        </w:r>
      </w:hyperlink>
    </w:p>
    <w:p>
      <w:pPr>
        <w:pStyle w:val="FirstParagraph"/>
        <w:rPr/>
      </w:pPr>
      <w:r>
        <w:rPr/>
        <w:t xml:space="preserve">Both work the same way: You enter a request (i.e. an address, city name, restaurant name, etc.) and it spits out the result, including the longitude and latitude. </w:t>
      </w:r>
      <w:r>
        <w:rPr>
          <w:b/>
        </w:rPr>
        <w:t>Please be aware that the first service returns the geo-coordinate with latitude first, followed by longitude (“Location: …”).</w:t>
      </w:r>
    </w:p>
    <w:p>
      <w:pPr>
        <w:pStyle w:val="Heading3"/>
        <w:rPr/>
      </w:pPr>
      <w:bookmarkStart w:id="14" w:name="constructing-a-dataset-quickly-from-with"/>
      <w:bookmarkEnd w:id="14"/>
      <w:r>
        <w:rPr/>
        <w:t>Constructing a dataset quickly from within R</w:t>
      </w:r>
    </w:p>
    <w:p>
      <w:pPr>
        <w:pStyle w:val="FirstParagraph"/>
        <w:rPr/>
      </w:pPr>
      <w:r>
        <w:rPr/>
        <w:t>You can construct the small dataset directly within R, by passing place labels, longitude and latitudes as separate column vectors:</w:t>
      </w:r>
    </w:p>
    <w:p>
      <w:pPr>
        <w:pStyle w:val="SourceCode"/>
        <w:rPr/>
      </w:pPr>
      <w:r>
        <w:rPr>
          <w:rStyle w:val="NormalTok"/>
        </w:rPr>
        <w:t>places &lt;-</w:t>
      </w:r>
      <w:r>
        <w:rPr>
          <w:rStyle w:val="StringTok"/>
        </w:rPr>
        <w:t xml:space="preserve"> </w:t>
      </w:r>
      <w:r>
        <w:rPr>
          <w:rStyle w:val="KeywordTok"/>
        </w:rPr>
        <w:t>data.frame</w:t>
      </w:r>
      <w:r>
        <w:rPr>
          <w:rStyle w:val="NormalTok"/>
        </w:rPr>
        <w:t>(</w:t>
      </w:r>
      <w:r>
        <w:rPr/>
        <w:br/>
      </w:r>
      <w:r>
        <w:rPr>
          <w:rStyle w:val="NormalTok"/>
        </w:rPr>
        <w:t xml:space="preserve">    </w:t>
      </w:r>
      <w:r>
        <w:rPr>
          <w:rStyle w:val="DataTypeTok"/>
        </w:rPr>
        <w:t>label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'born'</w:t>
      </w:r>
      <w:r>
        <w:rPr>
          <w:rStyle w:val="NormalTok"/>
        </w:rPr>
        <w:t xml:space="preserve">, </w:t>
      </w:r>
      <w:r>
        <w:rPr>
          <w:rStyle w:val="StringTok"/>
        </w:rPr>
        <w:t>'living'</w:t>
      </w:r>
      <w:r>
        <w:rPr>
          <w:rStyle w:val="NormalTok"/>
        </w:rPr>
        <w:t xml:space="preserve">, </w:t>
      </w:r>
      <w:r>
        <w:rPr>
          <w:rStyle w:val="StringTok"/>
        </w:rPr>
        <w:t>'neven been there'</w:t>
      </w:r>
      <w:r>
        <w:rPr>
          <w:rStyle w:val="NormalTok"/>
        </w:rPr>
        <w:t>),</w:t>
      </w:r>
      <w:r>
        <w:rPr/>
        <w:br/>
      </w:r>
      <w:r>
        <w:rPr>
          <w:rStyle w:val="NormalTok"/>
        </w:rPr>
        <w:t xml:space="preserve">    </w:t>
      </w:r>
      <w:r>
        <w:rPr>
          <w:rStyle w:val="DataTypeTok"/>
        </w:rPr>
        <w:t>lng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 xml:space="preserve">(  </w:t>
      </w:r>
      <w:r>
        <w:rPr>
          <w:rStyle w:val="FloatTok"/>
        </w:rPr>
        <w:t>12.590</w:t>
      </w:r>
      <w:r>
        <w:rPr>
          <w:rStyle w:val="NormalTok"/>
        </w:rPr>
        <w:t xml:space="preserve">, </w:t>
      </w:r>
      <w:r>
        <w:rPr>
          <w:rStyle w:val="FloatTok"/>
        </w:rPr>
        <w:t>13.402</w:t>
      </w:r>
      <w:r>
        <w:rPr>
          <w:rStyle w:val="NormalTok"/>
        </w:rPr>
        <w:t xml:space="preserve">,   </w:t>
      </w:r>
      <w:r>
        <w:rPr>
          <w:rStyle w:val="FloatTok"/>
        </w:rPr>
        <w:t>8.0456</w:t>
      </w:r>
      <w:r>
        <w:rPr>
          <w:rStyle w:val="NormalTok"/>
        </w:rPr>
        <w:t>),</w:t>
      </w:r>
      <w:r>
        <w:rPr/>
        <w:br/>
      </w:r>
      <w:r>
        <w:rPr>
          <w:rStyle w:val="NormalTok"/>
        </w:rPr>
        <w:t xml:space="preserve">    </w:t>
      </w:r>
      <w:r>
        <w:rPr>
          <w:rStyle w:val="DataTypeTok"/>
        </w:rPr>
        <w:t>lat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 xml:space="preserve">(  </w:t>
      </w:r>
      <w:r>
        <w:rPr>
          <w:rStyle w:val="FloatTok"/>
        </w:rPr>
        <w:t>51.279</w:t>
      </w:r>
      <w:r>
        <w:rPr>
          <w:rStyle w:val="NormalTok"/>
        </w:rPr>
        <w:t xml:space="preserve">, </w:t>
      </w:r>
      <w:r>
        <w:rPr>
          <w:rStyle w:val="FloatTok"/>
        </w:rPr>
        <w:t>52.520</w:t>
      </w:r>
      <w:r>
        <w:rPr>
          <w:rStyle w:val="NormalTok"/>
        </w:rPr>
        <w:t xml:space="preserve">,   </w:t>
      </w:r>
      <w:r>
        <w:rPr>
          <w:rStyle w:val="FloatTok"/>
        </w:rPr>
        <w:t>52.276</w:t>
      </w:r>
      <w:r>
        <w:rPr>
          <w:rStyle w:val="NormalTok"/>
        </w:rPr>
        <w:t>)</w:t>
      </w:r>
      <w:r>
        <w:rPr/>
        <w:br/>
      </w:r>
      <w:r>
        <w:rPr>
          <w:rStyle w:val="NormalTok"/>
        </w:rPr>
        <w:t>)</w:t>
      </w:r>
    </w:p>
    <w:p>
      <w:pPr>
        <w:pStyle w:val="Heading3"/>
        <w:rPr/>
      </w:pPr>
      <w:bookmarkStart w:id="15" w:name="loading-the-worldmap-dataset"/>
      <w:bookmarkEnd w:id="15"/>
      <w:r>
        <w:rPr/>
        <w:t>Loading the worldmap dataset</w:t>
      </w:r>
    </w:p>
    <w:p>
      <w:pPr>
        <w:pStyle w:val="FirstParagraph"/>
        <w:rPr/>
      </w:pPr>
      <w:r>
        <w:rPr/>
        <w:t xml:space="preserve">The following loads the world map dataset from the </w:t>
      </w:r>
      <w:r>
        <w:rPr>
          <w:rStyle w:val="VerbatimChar"/>
        </w:rPr>
        <w:t>maps</w:t>
      </w:r>
      <w:r>
        <w:rPr/>
        <w:t xml:space="preserve"> package as </w:t>
      </w:r>
      <w:r>
        <w:rPr>
          <w:i/>
        </w:rPr>
        <w:t>Simple Features</w:t>
      </w:r>
      <w:r>
        <w:rPr/>
        <w:t xml:space="preserve"> spatial dataset:</w:t>
      </w:r>
    </w:p>
    <w:p>
      <w:pPr>
        <w:pStyle w:val="SourceCode"/>
        <w:rPr/>
      </w:pPr>
      <w:r>
        <w:rPr>
          <w:rStyle w:val="KeywordTok"/>
        </w:rPr>
        <w:t>library</w:t>
      </w:r>
      <w:r>
        <w:rPr>
          <w:rStyle w:val="NormalTok"/>
        </w:rPr>
        <w:t>(maps)</w:t>
      </w:r>
      <w:r>
        <w:rPr/>
        <w:br/>
      </w:r>
      <w:r>
        <w:rPr>
          <w:rStyle w:val="KeywordTok"/>
        </w:rPr>
        <w:t>library</w:t>
      </w:r>
      <w:r>
        <w:rPr>
          <w:rStyle w:val="NormalTok"/>
        </w:rPr>
        <w:t>(sf)</w:t>
      </w:r>
      <w:r>
        <w:rPr/>
        <w:br/>
        <w:br/>
      </w:r>
      <w:r>
        <w:rPr>
          <w:rStyle w:val="NormalTok"/>
        </w:rPr>
        <w:t>worldmap_data &lt;-</w:t>
      </w:r>
      <w:r>
        <w:rPr>
          <w:rStyle w:val="StringTok"/>
        </w:rPr>
        <w:t xml:space="preserve"> </w:t>
      </w:r>
      <w:r>
        <w:rPr>
          <w:rStyle w:val="KeywordTok"/>
        </w:rPr>
        <w:t>st_as_sf</w:t>
      </w:r>
      <w:r>
        <w:rPr>
          <w:rStyle w:val="NormalTok"/>
        </w:rPr>
        <w:t>(</w:t>
      </w:r>
      <w:r>
        <w:rPr>
          <w:rStyle w:val="KeywordTok"/>
        </w:rPr>
        <w:t>map</w:t>
      </w:r>
      <w:r>
        <w:rPr>
          <w:rStyle w:val="NormalTok"/>
        </w:rPr>
        <w:t>(</w:t>
      </w:r>
      <w:r>
        <w:rPr>
          <w:rStyle w:val="StringTok"/>
        </w:rPr>
        <w:t>'world'</w:t>
      </w:r>
      <w:r>
        <w:rPr>
          <w:rStyle w:val="NormalTok"/>
        </w:rPr>
        <w:t xml:space="preserve">, </w:t>
      </w:r>
      <w:r>
        <w:rPr>
          <w:rStyle w:val="DataTypeTok"/>
        </w:rPr>
        <w:t>plot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))</w:t>
      </w:r>
    </w:p>
    <w:p>
      <w:pPr>
        <w:pStyle w:val="Heading3"/>
        <w:rPr/>
      </w:pPr>
      <w:bookmarkStart w:id="16" w:name="filtering-the-worldmap-dataset"/>
      <w:bookmarkEnd w:id="16"/>
      <w:r>
        <w:rPr/>
        <w:t>Filtering the worldmap dataset</w:t>
      </w:r>
    </w:p>
    <w:p>
      <w:pPr>
        <w:pStyle w:val="FirstParagraph"/>
        <w:rPr/>
      </w:pPr>
      <w:r>
        <w:rPr/>
        <w:t xml:space="preserve">You can filter the worldmap data from the </w:t>
      </w:r>
      <w:r>
        <w:rPr>
          <w:rStyle w:val="VerbatimChar"/>
        </w:rPr>
        <w:t>maps</w:t>
      </w:r>
      <w:r>
        <w:rPr/>
        <w:t xml:space="preserve"> package by using the “ID” column:</w:t>
      </w:r>
    </w:p>
    <w:p>
      <w:pPr>
        <w:pStyle w:val="SourceCode"/>
        <w:rPr/>
      </w:pPr>
      <w:r>
        <w:rPr>
          <w:rStyle w:val="NormalTok"/>
        </w:rPr>
        <w:t>sweden &lt;-</w:t>
      </w:r>
      <w:r>
        <w:rPr>
          <w:rStyle w:val="StringTok"/>
        </w:rPr>
        <w:t xml:space="preserve"> </w:t>
      </w:r>
      <w:r>
        <w:rPr>
          <w:rStyle w:val="NormalTok"/>
        </w:rPr>
        <w:t>worldmap_data[worldmap_data</w:t>
      </w:r>
      <w:r>
        <w:rPr>
          <w:rStyle w:val="OperatorTok"/>
        </w:rPr>
        <w:t>$</w:t>
      </w:r>
      <w:r>
        <w:rPr>
          <w:rStyle w:val="NormalTok"/>
        </w:rPr>
        <w:t xml:space="preserve">ID </w:t>
      </w:r>
      <w:r>
        <w:rPr>
          <w:rStyle w:val="OperatorTok"/>
        </w:rPr>
        <w:t>==</w:t>
      </w:r>
      <w:r>
        <w:rPr>
          <w:rStyle w:val="StringTok"/>
        </w:rPr>
        <w:t xml:space="preserve"> 'Sweden'</w:t>
      </w:r>
      <w:r>
        <w:rPr>
          <w:rStyle w:val="NormalTok"/>
        </w:rPr>
        <w:t>,]</w:t>
      </w:r>
    </w:p>
    <w:p>
      <w:pPr>
        <w:pStyle w:val="FirstParagraph"/>
        <w:rPr/>
      </w:pPr>
      <w:r>
        <w:rPr/>
        <w:t xml:space="preserve">Using the </w:t>
      </w:r>
      <w:r>
        <w:rPr>
          <w:rStyle w:val="VerbatimChar"/>
        </w:rPr>
        <w:t>%in%</w:t>
      </w:r>
      <w:r>
        <w:rPr/>
        <w:t xml:space="preserve"> operator when selecting several countries:</w:t>
      </w:r>
    </w:p>
    <w:p>
      <w:pPr>
        <w:pStyle w:val="SourceCode"/>
        <w:rPr/>
      </w:pPr>
      <w:r>
        <w:rPr>
          <w:rStyle w:val="NormalTok"/>
        </w:rPr>
        <w:t>scandinavia &lt;-</w:t>
      </w:r>
      <w:r>
        <w:rPr>
          <w:rStyle w:val="StringTok"/>
        </w:rPr>
        <w:t xml:space="preserve"> </w:t>
      </w:r>
      <w:r>
        <w:rPr>
          <w:rStyle w:val="NormalTok"/>
        </w:rPr>
        <w:t>worldmap_data[worldmap_data</w:t>
      </w:r>
      <w:r>
        <w:rPr>
          <w:rStyle w:val="OperatorTok"/>
        </w:rPr>
        <w:t>$</w:t>
      </w:r>
      <w:r>
        <w:rPr>
          <w:rStyle w:val="NormalTok"/>
        </w:rPr>
        <w:t xml:space="preserve">ID </w:t>
      </w:r>
      <w:r>
        <w:rPr>
          <w:rStyle w:val="OperatorTok"/>
        </w:rPr>
        <w:t>%in%</w:t>
      </w:r>
      <w:r>
        <w:rPr>
          <w:rStyle w:val="String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'Sweden'</w:t>
      </w:r>
      <w:r>
        <w:rPr>
          <w:rStyle w:val="NormalTok"/>
        </w:rPr>
        <w:t xml:space="preserve">, </w:t>
      </w:r>
      <w:r>
        <w:rPr>
          <w:rStyle w:val="StringTok"/>
        </w:rPr>
        <w:t>'Denmark'</w:t>
      </w:r>
      <w:r>
        <w:rPr>
          <w:rStyle w:val="NormalTok"/>
        </w:rPr>
        <w:t xml:space="preserve">, </w:t>
      </w:r>
      <w:r>
        <w:rPr>
          <w:rStyle w:val="StringTok"/>
        </w:rPr>
        <w:t>'Finland'</w:t>
      </w:r>
      <w:r>
        <w:rPr>
          <w:rStyle w:val="NormalTok"/>
        </w:rPr>
        <w:t>,</w:t>
      </w:r>
      <w:r>
        <w:rPr/>
        <w:br/>
      </w:r>
      <w:r>
        <w:rPr>
          <w:rStyle w:val="NormalTok"/>
        </w:rPr>
        <w:t xml:space="preserve">                                                     </w:t>
      </w:r>
      <w:r>
        <w:rPr>
          <w:rStyle w:val="StringTok"/>
        </w:rPr>
        <w:t>'Norway'</w:t>
      </w:r>
      <w:r>
        <w:rPr>
          <w:rStyle w:val="NormalTok"/>
        </w:rPr>
        <w:t xml:space="preserve">, </w:t>
      </w:r>
      <w:r>
        <w:rPr>
          <w:rStyle w:val="StringTok"/>
        </w:rPr>
        <w:t>'Iceland'</w:t>
      </w:r>
      <w:r>
        <w:rPr>
          <w:rStyle w:val="NormalTok"/>
        </w:rPr>
        <w:t>),]</w:t>
      </w:r>
    </w:p>
    <w:p>
      <w:pPr>
        <w:pStyle w:val="Heading3"/>
        <w:rPr/>
      </w:pPr>
      <w:bookmarkStart w:id="17" w:name="restricting-the-display-window"/>
      <w:bookmarkEnd w:id="17"/>
      <w:r>
        <w:rPr/>
        <w:t>Restricting the display window</w:t>
      </w:r>
    </w:p>
    <w:p>
      <w:pPr>
        <w:pStyle w:val="FirstParagraph"/>
        <w:rPr/>
      </w:pPr>
      <w:r>
        <w:rPr/>
        <w:t>You can specify a “display window” (i.e. “zooming in” to a certain region) by setting a limit on the displayed longitude range (</w:t>
      </w:r>
      <w:r>
        <w:rPr>
          <w:rStyle w:val="VerbatimChar"/>
        </w:rPr>
        <w:t>xlim</w:t>
      </w:r>
      <w:r>
        <w:rPr/>
        <w:t>) and latitude range (</w:t>
      </w:r>
      <w:r>
        <w:rPr>
          <w:rStyle w:val="VerbatimChar"/>
        </w:rPr>
        <w:t>ylim</w:t>
      </w:r>
      <w:r>
        <w:rPr/>
        <w:t xml:space="preserve">) in the </w:t>
      </w:r>
      <w:r>
        <w:rPr>
          <w:rStyle w:val="VerbatimChar"/>
        </w:rPr>
        <w:t>coord_sf()</w:t>
      </w:r>
      <w:r>
        <w:rPr/>
        <w:t xml:space="preserve"> function:</w:t>
      </w:r>
    </w:p>
    <w:p>
      <w:pPr>
        <w:pStyle w:val="SourceCode"/>
        <w:rPr/>
      </w:pPr>
      <w:r>
        <w:rPr>
          <w:rStyle w:val="KeywordTok"/>
        </w:rPr>
        <w:t>ggplot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KeywordTok"/>
        </w:rPr>
        <w:t>geom_sf</w:t>
      </w:r>
      <w:r>
        <w:rPr>
          <w:rStyle w:val="NormalTok"/>
        </w:rPr>
        <w:t>(</w:t>
      </w:r>
      <w:r>
        <w:rPr>
          <w:rStyle w:val="DataTypeTok"/>
        </w:rPr>
        <w:t>data =</w:t>
      </w:r>
      <w:r>
        <w:rPr>
          <w:rStyle w:val="NormalTok"/>
        </w:rPr>
        <w:t xml:space="preserve"> worldmap_data)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KeywordTok"/>
        </w:rPr>
        <w:t>coord_sf</w:t>
      </w:r>
      <w:r>
        <w:rPr>
          <w:rStyle w:val="NormalTok"/>
        </w:rPr>
        <w:t>(</w:t>
      </w:r>
      <w:r>
        <w:rPr>
          <w:rStyle w:val="DataTypeTok"/>
        </w:rPr>
        <w:t>xlim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OperatorTok"/>
        </w:rPr>
        <w:t>-</w:t>
      </w:r>
      <w:r>
        <w:rPr>
          <w:rStyle w:val="DecValTok"/>
        </w:rPr>
        <w:t>20</w:t>
      </w:r>
      <w:r>
        <w:rPr>
          <w:rStyle w:val="NormalTok"/>
        </w:rPr>
        <w:t xml:space="preserve">, </w:t>
      </w:r>
      <w:r>
        <w:rPr>
          <w:rStyle w:val="DecValTok"/>
        </w:rPr>
        <w:t>50</w:t>
      </w:r>
      <w:r>
        <w:rPr>
          <w:rStyle w:val="NormalTok"/>
        </w:rPr>
        <w:t xml:space="preserve">), </w:t>
      </w:r>
      <w:r>
        <w:rPr>
          <w:rStyle w:val="DataTypeTok"/>
        </w:rPr>
        <w:t>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30</w:t>
      </w:r>
      <w:r>
        <w:rPr>
          <w:rStyle w:val="NormalTok"/>
        </w:rPr>
        <w:t xml:space="preserve">, </w:t>
      </w:r>
      <w:r>
        <w:rPr>
          <w:rStyle w:val="DecValTok"/>
        </w:rPr>
        <w:t>70</w:t>
      </w:r>
      <w:r>
        <w:rPr>
          <w:rStyle w:val="NormalTok"/>
        </w:rPr>
        <w:t>))</w:t>
      </w:r>
    </w:p>
    <w:p>
      <w:pPr>
        <w:pStyle w:val="FirstParagraph"/>
        <w:rPr/>
      </w:pPr>
      <w:r>
        <w:rPr/>
        <w:drawing>
          <wp:inline distT="0" distB="0" distL="114935" distR="114935">
            <wp:extent cx="4620260" cy="3696335"/>
            <wp:effectExtent l="0" t="0" r="0" b="0"/>
            <wp:docPr id="14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/>
      </w:pPr>
      <w:r>
        <w:rPr/>
        <w:t>We will learn more options on how to specify display windows in the second part of the workshop.</w:t>
      </w:r>
    </w:p>
    <w:p>
      <w:pPr>
        <w:pStyle w:val="Heading2"/>
        <w:rPr/>
      </w:pPr>
      <w:bookmarkStart w:id="18" w:name="exercise-3"/>
      <w:bookmarkEnd w:id="18"/>
      <w:r>
        <w:rPr/>
        <w:t>Exercise 3</w:t>
      </w:r>
    </w:p>
    <w:p>
      <w:pPr>
        <w:pStyle w:val="Heading3"/>
        <w:rPr/>
      </w:pPr>
      <w:bookmarkStart w:id="19" w:name="loading-and-filtering-the-worldmap-datas"/>
      <w:bookmarkEnd w:id="19"/>
      <w:r>
        <w:rPr/>
        <w:t>Loading and filtering the worldmap dataset</w:t>
      </w:r>
    </w:p>
    <w:p>
      <w:pPr>
        <w:pStyle w:val="FirstParagraph"/>
        <w:rPr/>
      </w:pPr>
      <w:r>
        <w:rPr/>
        <w:t>See hints in exercise 2.</w:t>
      </w:r>
    </w:p>
    <w:p>
      <w:pPr>
        <w:pStyle w:val="Heading3"/>
        <w:rPr/>
      </w:pPr>
      <w:bookmarkStart w:id="20" w:name="grouping-and-counting"/>
      <w:bookmarkEnd w:id="20"/>
      <w:r>
        <w:rPr/>
        <w:t>Grouping and counting</w:t>
      </w:r>
    </w:p>
    <w:p>
      <w:pPr>
        <w:pStyle w:val="FirstParagraph"/>
        <w:rPr/>
      </w:pPr>
      <w:r>
        <w:rPr/>
        <w:t xml:space="preserve">You can use the function </w:t>
      </w:r>
      <w:r>
        <w:rPr>
          <w:rStyle w:val="VerbatimChar"/>
        </w:rPr>
        <w:t>group_by()</w:t>
      </w:r>
      <w:r>
        <w:rPr/>
        <w:t xml:space="preserve"> from the package </w:t>
      </w:r>
      <w:r>
        <w:rPr>
          <w:rStyle w:val="VerbatimChar"/>
        </w:rPr>
        <w:t>dplyr</w:t>
      </w:r>
      <w:r>
        <w:rPr/>
        <w:t xml:space="preserve"> to group the dataset and then pass the groups to the function </w:t>
      </w:r>
      <w:r>
        <w:rPr>
          <w:rStyle w:val="VerbatimChar"/>
        </w:rPr>
        <w:t>count()</w:t>
      </w:r>
      <w:r>
        <w:rPr/>
        <w:t xml:space="preserve"> to count observations in each group. For example, if you want to group the dataset </w:t>
      </w:r>
      <w:r>
        <w:rPr>
          <w:rStyle w:val="VerbatimChar"/>
        </w:rPr>
        <w:t>msleep</w:t>
      </w:r>
      <w:r>
        <w:rPr/>
        <w:t xml:space="preserve"> by variable </w:t>
      </w:r>
      <w:r>
        <w:rPr>
          <w:rStyle w:val="VerbatimChar"/>
        </w:rPr>
        <w:t>vore</w:t>
      </w:r>
      <w:r>
        <w:rPr/>
        <w:t xml:space="preserve"> and count the observations in each group, you can do so as follows:</w:t>
      </w:r>
    </w:p>
    <w:p>
      <w:pPr>
        <w:pStyle w:val="SourceCode"/>
        <w:rPr/>
      </w:pPr>
      <w:r>
        <w:rPr>
          <w:rStyle w:val="KeywordTok"/>
        </w:rPr>
        <w:t>library</w:t>
      </w:r>
      <w:r>
        <w:rPr>
          <w:rStyle w:val="NormalTok"/>
        </w:rPr>
        <w:t>(dplyr)</w:t>
      </w:r>
      <w:r>
        <w:rPr/>
        <w:br/>
      </w:r>
      <w:r>
        <w:rPr>
          <w:rStyle w:val="KeywordTok"/>
        </w:rPr>
        <w:t>library</w:t>
      </w:r>
      <w:r>
        <w:rPr>
          <w:rStyle w:val="NormalTok"/>
        </w:rPr>
        <w:t xml:space="preserve">(ggplot2)  </w:t>
      </w:r>
      <w:r>
        <w:rPr>
          <w:rStyle w:val="CommentTok"/>
        </w:rPr>
        <w:t># for the "msleep" example dataset</w:t>
      </w:r>
      <w:r>
        <w:rPr/>
        <w:br/>
        <w:br/>
      </w:r>
      <w:r>
        <w:rPr>
          <w:rStyle w:val="KeywordTok"/>
        </w:rPr>
        <w:t>group_by</w:t>
      </w:r>
      <w:r>
        <w:rPr>
          <w:rStyle w:val="NormalTok"/>
        </w:rPr>
        <w:t xml:space="preserve">(msleep, vore) </w:t>
      </w:r>
      <w:r>
        <w:rPr>
          <w:rStyle w:val="OperatorTok"/>
        </w:rPr>
        <w:t>%&gt;%</w:t>
      </w:r>
      <w:r>
        <w:rPr>
          <w:rStyle w:val="StringTok"/>
        </w:rPr>
        <w:t xml:space="preserve"> </w:t>
      </w:r>
      <w:r>
        <w:rPr>
          <w:rStyle w:val="KeywordTok"/>
        </w:rPr>
        <w:t>count</w:t>
      </w:r>
      <w:r>
        <w:rPr>
          <w:rStyle w:val="NormalTok"/>
        </w:rPr>
        <w:t>()</w:t>
      </w:r>
    </w:p>
    <w:p>
      <w:pPr>
        <w:pStyle w:val="SourceCode"/>
        <w:rPr/>
      </w:pPr>
      <w:r>
        <w:rPr>
          <w:rStyle w:val="VerbatimChar"/>
        </w:rPr>
        <w:t>## # A tibble: 5 x 2</w:t>
      </w:r>
      <w:r>
        <w:rPr/>
        <w:br/>
      </w:r>
      <w:r>
        <w:rPr>
          <w:rStyle w:val="VerbatimChar"/>
        </w:rPr>
        <w:t>## # Groups:   vore [5]</w:t>
      </w:r>
      <w:r>
        <w:rPr/>
        <w:br/>
      </w:r>
      <w:r>
        <w:rPr>
          <w:rStyle w:val="VerbatimChar"/>
        </w:rPr>
        <w:t>##   vore        n</w:t>
      </w:r>
      <w:r>
        <w:rPr/>
        <w:br/>
      </w:r>
      <w:r>
        <w:rPr>
          <w:rStyle w:val="VerbatimChar"/>
        </w:rPr>
        <w:t>##   &lt;chr&gt;   &lt;int&gt;</w:t>
      </w:r>
      <w:r>
        <w:rPr/>
        <w:br/>
      </w:r>
      <w:r>
        <w:rPr>
          <w:rStyle w:val="VerbatimChar"/>
        </w:rPr>
        <w:t>## 1 &lt;NA&gt;        7</w:t>
      </w:r>
      <w:r>
        <w:rPr/>
        <w:br/>
      </w:r>
      <w:r>
        <w:rPr>
          <w:rStyle w:val="VerbatimChar"/>
        </w:rPr>
        <w:t>## 2 carni      19</w:t>
      </w:r>
      <w:r>
        <w:rPr/>
        <w:br/>
      </w:r>
      <w:r>
        <w:rPr>
          <w:rStyle w:val="VerbatimChar"/>
        </w:rPr>
        <w:t>## 3 herbi      32</w:t>
      </w:r>
      <w:r>
        <w:rPr/>
        <w:br/>
      </w:r>
      <w:r>
        <w:rPr>
          <w:rStyle w:val="VerbatimChar"/>
        </w:rPr>
        <w:t>## 4 insecti     5</w:t>
      </w:r>
      <w:r>
        <w:rPr/>
        <w:br/>
      </w:r>
      <w:r>
        <w:rPr>
          <w:rStyle w:val="VerbatimChar"/>
        </w:rPr>
        <w:t>## 5 omni       20</w:t>
      </w:r>
    </w:p>
    <w:p>
      <w:pPr>
        <w:pStyle w:val="FirstParagraph"/>
        <w:rPr/>
      </w:pPr>
      <w:r>
        <w:rPr/>
        <w:t xml:space="preserve">You can also group by several variables, for example by each combination of the variables </w:t>
      </w:r>
      <w:r>
        <w:rPr>
          <w:rStyle w:val="VerbatimChar"/>
        </w:rPr>
        <w:t>vore</w:t>
      </w:r>
      <w:r>
        <w:rPr/>
        <w:t xml:space="preserve"> and </w:t>
      </w:r>
      <w:r>
        <w:rPr>
          <w:rStyle w:val="VerbatimChar"/>
        </w:rPr>
        <w:t>order</w:t>
      </w:r>
      <w:r>
        <w:rPr/>
        <w:t xml:space="preserve"> that exist in the dataset:</w:t>
      </w:r>
    </w:p>
    <w:p>
      <w:pPr>
        <w:pStyle w:val="SourceCode"/>
        <w:rPr/>
      </w:pPr>
      <w:r>
        <w:rPr>
          <w:rStyle w:val="KeywordTok"/>
        </w:rPr>
        <w:t>group_by</w:t>
      </w:r>
      <w:r>
        <w:rPr>
          <w:rStyle w:val="NormalTok"/>
        </w:rPr>
        <w:t xml:space="preserve">(msleep, vore, order) </w:t>
      </w:r>
      <w:r>
        <w:rPr>
          <w:rStyle w:val="OperatorTok"/>
        </w:rPr>
        <w:t>%&gt;%</w:t>
      </w:r>
      <w:r>
        <w:rPr>
          <w:rStyle w:val="StringTok"/>
        </w:rPr>
        <w:t xml:space="preserve"> </w:t>
      </w:r>
      <w:r>
        <w:rPr>
          <w:rStyle w:val="KeywordTok"/>
        </w:rPr>
        <w:t>count</w:t>
      </w:r>
      <w:r>
        <w:rPr>
          <w:rStyle w:val="NormalTok"/>
        </w:rPr>
        <w:t xml:space="preserve">() </w:t>
      </w:r>
      <w:r>
        <w:rPr>
          <w:rStyle w:val="OperatorTok"/>
        </w:rPr>
        <w:t>%&gt;%</w:t>
      </w:r>
      <w:r>
        <w:rPr>
          <w:rStyle w:val="StringTok"/>
        </w:rPr>
        <w:t xml:space="preserve">  </w:t>
      </w:r>
      <w:r>
        <w:rPr>
          <w:rStyle w:val="CommentTok"/>
        </w:rPr>
        <w:t># group and count by variables "vore" and "order"</w:t>
      </w:r>
      <w:r>
        <w:rPr/>
        <w:br/>
      </w:r>
      <w:r>
        <w:rPr>
          <w:rStyle w:val="StringTok"/>
        </w:rPr>
        <w:t xml:space="preserve">    </w:t>
      </w:r>
      <w:r>
        <w:rPr>
          <w:rStyle w:val="KeywordTok"/>
        </w:rPr>
        <w:t>ungroup</w:t>
      </w:r>
      <w:r>
        <w:rPr>
          <w:rStyle w:val="NormalTok"/>
        </w:rPr>
        <w:t xml:space="preserve">() </w:t>
      </w:r>
      <w:r>
        <w:rPr>
          <w:rStyle w:val="OperatorTok"/>
        </w:rPr>
        <w:t>%&gt;%</w:t>
      </w:r>
      <w:r>
        <w:rPr>
          <w:rStyle w:val="StringTok"/>
        </w:rPr>
        <w:t xml:space="preserve"> </w:t>
      </w:r>
      <w:r>
        <w:rPr>
          <w:rStyle w:val="KeywordTok"/>
        </w:rPr>
        <w:t>sample_n</w:t>
      </w:r>
      <w:r>
        <w:rPr>
          <w:rStyle w:val="NormalTok"/>
        </w:rPr>
        <w:t>(</w:t>
      </w:r>
      <w:r>
        <w:rPr>
          <w:rStyle w:val="DecValTok"/>
        </w:rPr>
        <w:t>5</w:t>
      </w:r>
      <w:r>
        <w:rPr>
          <w:rStyle w:val="NormalTok"/>
        </w:rPr>
        <w:t xml:space="preserve">)                  </w:t>
      </w:r>
      <w:r>
        <w:rPr>
          <w:rStyle w:val="CommentTok"/>
        </w:rPr>
        <w:t># show only a sample of 5 rows</w:t>
      </w:r>
    </w:p>
    <w:p>
      <w:pPr>
        <w:pStyle w:val="SourceCode"/>
        <w:rPr/>
      </w:pPr>
      <w:r>
        <w:rPr>
          <w:rStyle w:val="VerbatimChar"/>
        </w:rPr>
        <w:t>## # A tibble: 5 x 3</w:t>
      </w:r>
      <w:r>
        <w:rPr/>
        <w:br/>
      </w:r>
      <w:r>
        <w:rPr>
          <w:rStyle w:val="VerbatimChar"/>
        </w:rPr>
        <w:t>##   vore  order               n</w:t>
      </w:r>
      <w:r>
        <w:rPr/>
        <w:br/>
      </w:r>
      <w:r>
        <w:rPr>
          <w:rStyle w:val="VerbatimChar"/>
        </w:rPr>
        <w:t>##   &lt;chr&gt; &lt;chr&gt;           &lt;int&gt;</w:t>
      </w:r>
      <w:r>
        <w:rPr/>
        <w:br/>
      </w:r>
      <w:r>
        <w:rPr>
          <w:rStyle w:val="VerbatimChar"/>
        </w:rPr>
        <w:t>## 1 herbi Artiodactyla        5</w:t>
      </w:r>
      <w:r>
        <w:rPr/>
        <w:br/>
      </w:r>
      <w:r>
        <w:rPr>
          <w:rStyle w:val="VerbatimChar"/>
        </w:rPr>
        <w:t>## 2 herbi Pilosa              1</w:t>
      </w:r>
      <w:r>
        <w:rPr/>
        <w:br/>
      </w:r>
      <w:r>
        <w:rPr>
          <w:rStyle w:val="VerbatimChar"/>
        </w:rPr>
        <w:t>## 3 herbi Perissodactyla      3</w:t>
      </w:r>
      <w:r>
        <w:rPr/>
        <w:br/>
      </w:r>
      <w:r>
        <w:rPr>
          <w:rStyle w:val="VerbatimChar"/>
        </w:rPr>
        <w:t>## 4 &lt;NA&gt;  Soricomorpha        1</w:t>
      </w:r>
      <w:r>
        <w:rPr/>
        <w:br/>
      </w:r>
      <w:r>
        <w:rPr>
          <w:rStyle w:val="VerbatimChar"/>
        </w:rPr>
        <w:t>## 5 omni  Didelphimorphia     1</w:t>
      </w:r>
    </w:p>
    <w:p>
      <w:pPr>
        <w:pStyle w:val="FirstParagraph"/>
        <w:rPr/>
      </w:pPr>
      <w:r>
        <w:rPr/>
        <w:t xml:space="preserve">For the given task, you must group the observations by city </w:t>
      </w:r>
      <w:r>
        <w:rPr>
          <w:b/>
        </w:rPr>
        <w:t>and</w:t>
      </w:r>
      <w:r>
        <w:rPr/>
        <w:t xml:space="preserve"> city longitude/latitude.</w:t>
      </w:r>
    </w:p>
    <w:p>
      <w:pPr>
        <w:pStyle w:val="Heading3"/>
        <w:rPr/>
      </w:pPr>
      <w:bookmarkStart w:id="21" w:name="restricting-the-display-window-1"/>
      <w:bookmarkEnd w:id="21"/>
      <w:r>
        <w:rPr/>
        <w:t>Restricting the display window</w:t>
      </w:r>
    </w:p>
    <w:p>
      <w:pPr>
        <w:pStyle w:val="FirstParagraph"/>
        <w:rPr/>
      </w:pPr>
      <w:r>
        <w:rPr/>
        <w:t>See hints in exercise 2.</w:t>
      </w:r>
    </w:p>
    <w:p>
      <w:pPr>
        <w:pStyle w:val="Heading2"/>
        <w:rPr/>
      </w:pPr>
      <w:bookmarkStart w:id="22" w:name="exercise-4"/>
      <w:bookmarkEnd w:id="22"/>
      <w:r>
        <w:rPr/>
        <w:t>Exercise 4</w:t>
      </w:r>
    </w:p>
    <w:p>
      <w:pPr>
        <w:pStyle w:val="FirstParagraph"/>
        <w:rPr/>
      </w:pPr>
      <w:r>
        <w:rPr/>
        <w:t xml:space="preserve">When loading the </w:t>
      </w:r>
      <w:r>
        <w:rPr>
          <w:rStyle w:val="VerbatimChar"/>
        </w:rPr>
        <w:t>bln_plr_sozind_data.csv</w:t>
      </w:r>
      <w:r>
        <w:rPr/>
        <w:t xml:space="preserve"> dataset, make sure that the variable </w:t>
      </w:r>
      <w:r>
        <w:rPr>
          <w:rStyle w:val="VerbatimChar"/>
        </w:rPr>
        <w:t>SCHLUESSEL</w:t>
      </w:r>
      <w:r>
        <w:rPr/>
        <w:t xml:space="preserve"> is loaded as character string, </w:t>
      </w:r>
      <w:r>
        <w:rPr>
          <w:b/>
        </w:rPr>
        <w:t>not</w:t>
      </w:r>
      <w:r>
        <w:rPr/>
        <w:t xml:space="preserve"> as integer (use </w:t>
      </w:r>
      <w:r>
        <w:rPr>
          <w:rStyle w:val="VerbatimChar"/>
        </w:rPr>
        <w:t>colClasses = c('SCHLUESSEL' = 'character')</w:t>
      </w:r>
      <w:r>
        <w:rPr/>
        <w:t xml:space="preserve"> in </w:t>
      </w:r>
      <w:r>
        <w:rPr>
          <w:rStyle w:val="VerbatimChar"/>
        </w:rPr>
        <w:t>read.csv()</w:t>
      </w:r>
      <w:r>
        <w:rPr/>
        <w:t>).</w:t>
      </w:r>
    </w:p>
    <w:p>
      <w:pPr>
        <w:pStyle w:val="TextBody"/>
        <w:rPr/>
      </w:pPr>
      <w:r>
        <w:rPr/>
        <w:t xml:space="preserve">After loading the spatial dataset </w:t>
      </w:r>
      <w:r>
        <w:rPr>
          <w:rStyle w:val="VerbatimChar"/>
        </w:rPr>
        <w:t>bln_plr.geojson</w:t>
      </w:r>
      <w:r>
        <w:rPr/>
        <w:t xml:space="preserve"> make sure to set the CRS: </w:t>
      </w:r>
      <w:r>
        <w:rPr>
          <w:rStyle w:val="VerbatimChar"/>
        </w:rPr>
        <w:t>st_crs(&lt;DATASET&gt;) &lt;- 25833</w:t>
      </w:r>
      <w:r>
        <w:rPr/>
        <w:t>.</w:t>
      </w:r>
    </w:p>
    <w:p>
      <w:pPr>
        <w:pStyle w:val="TextBody"/>
        <w:rPr/>
      </w:pPr>
      <w:r>
        <w:rPr/>
        <w:t xml:space="preserve">More information on the </w:t>
      </w:r>
      <w:r>
        <w:rPr>
          <w:rStyle w:val="VerbatimChar"/>
        </w:rPr>
        <w:t>bln_plr_sozind_data.csv</w:t>
      </w:r>
      <w:r>
        <w:rPr/>
        <w:t xml:space="preserve"> dataset:</w:t>
      </w:r>
    </w:p>
    <w:p>
      <w:pPr>
        <w:pStyle w:val="Compact"/>
        <w:numPr>
          <w:ilvl w:val="0"/>
          <w:numId w:val="6"/>
        </w:numPr>
        <w:rPr/>
      </w:pPr>
      <w:r>
        <w:rPr/>
        <w:t xml:space="preserve">source: Berlin Senate Dept. for Urban Dev. and Housing, </w:t>
      </w:r>
      <w:r>
        <w:rPr>
          <w:i/>
        </w:rPr>
        <w:t>Monitoring Soziale Stadtentwicklung 2017</w:t>
      </w:r>
      <w:r>
        <w:rPr/>
        <w:t xml:space="preserve"> via </w:t>
      </w:r>
      <w:hyperlink r:id="rId20">
        <w:r>
          <w:rPr>
            <w:rStyle w:val="InternetLink"/>
          </w:rPr>
          <w:t>FIS-Broker</w:t>
        </w:r>
      </w:hyperlink>
    </w:p>
    <w:p>
      <w:pPr>
        <w:pStyle w:val="Compact"/>
        <w:numPr>
          <w:ilvl w:val="0"/>
          <w:numId w:val="6"/>
        </w:numPr>
        <w:rPr/>
      </w:pPr>
      <w:r>
        <w:rPr/>
        <w:t>variables:</w:t>
      </w:r>
    </w:p>
    <w:p>
      <w:pPr>
        <w:pStyle w:val="Compact"/>
        <w:numPr>
          <w:ilvl w:val="1"/>
          <w:numId w:val="7"/>
        </w:numPr>
        <w:rPr/>
      </w:pPr>
      <w:r>
        <w:rPr>
          <w:rStyle w:val="VerbatimChar"/>
        </w:rPr>
        <w:t>STATUS1</w:t>
      </w:r>
      <w:r>
        <w:rPr/>
        <w:t>: Unemployment rate 2016 in percent</w:t>
      </w:r>
    </w:p>
    <w:p>
      <w:pPr>
        <w:pStyle w:val="Compact"/>
        <w:numPr>
          <w:ilvl w:val="1"/>
          <w:numId w:val="7"/>
        </w:numPr>
        <w:rPr/>
      </w:pPr>
      <w:r>
        <w:rPr>
          <w:rStyle w:val="VerbatimChar"/>
        </w:rPr>
        <w:t>STATUS2</w:t>
      </w:r>
      <w:r>
        <w:rPr/>
        <w:t>: Long term unemployment rate 2016 in percent</w:t>
      </w:r>
    </w:p>
    <w:p>
      <w:pPr>
        <w:pStyle w:val="Compact"/>
        <w:numPr>
          <w:ilvl w:val="1"/>
          <w:numId w:val="7"/>
        </w:numPr>
        <w:rPr/>
      </w:pPr>
      <w:r>
        <w:rPr>
          <w:rStyle w:val="VerbatimChar"/>
        </w:rPr>
        <w:t>STATUS3</w:t>
      </w:r>
      <w:r>
        <w:rPr/>
        <w:t>: Pct. of households that obtain social support (“Hartz IV”) 2016</w:t>
      </w:r>
    </w:p>
    <w:p>
      <w:pPr>
        <w:pStyle w:val="Compact"/>
        <w:numPr>
          <w:ilvl w:val="1"/>
          <w:numId w:val="7"/>
        </w:numPr>
        <w:rPr/>
      </w:pPr>
      <w:r>
        <w:rPr>
          <w:rStyle w:val="VerbatimChar"/>
        </w:rPr>
        <w:t>STATUS4</w:t>
      </w:r>
      <w:r>
        <w:rPr/>
        <w:t>: Portion of children under 15 living in household that obtains social support (“Hartz IV”) 2016</w:t>
      </w:r>
    </w:p>
    <w:p>
      <w:pPr>
        <w:pStyle w:val="Compact"/>
        <w:numPr>
          <w:ilvl w:val="1"/>
          <w:numId w:val="7"/>
        </w:numPr>
        <w:rPr/>
      </w:pPr>
      <w:r>
        <w:rPr>
          <w:rStyle w:val="VerbatimChar"/>
        </w:rPr>
        <w:t>DYNAMO1</w:t>
      </w:r>
      <w:r>
        <w:rPr/>
        <w:t xml:space="preserve"> to </w:t>
      </w:r>
      <w:r>
        <w:rPr>
          <w:rStyle w:val="VerbatimChar"/>
        </w:rPr>
        <w:t>4</w:t>
      </w:r>
      <w:r>
        <w:rPr/>
        <w:t>: Change in the above indicators from the previous year</w:t>
      </w:r>
    </w:p>
    <w:p>
      <w:pPr>
        <w:pStyle w:val="Heading2"/>
        <w:rPr/>
      </w:pPr>
      <w:bookmarkStart w:id="23" w:name="exercise-5"/>
      <w:bookmarkEnd w:id="23"/>
      <w:r>
        <w:rPr/>
        <w:t>Exercise 5</w:t>
      </w:r>
    </w:p>
    <w:p>
      <w:pPr>
        <w:pStyle w:val="FirstParagraph"/>
        <w:rPr/>
      </w:pPr>
      <w:r>
        <w:rPr/>
        <w:t xml:space="preserve">After loading the spatial dataset </w:t>
      </w:r>
      <w:r>
        <w:rPr>
          <w:rStyle w:val="VerbatimChar"/>
        </w:rPr>
        <w:t>nutsrg_2_2016_epsg3857_20M.json</w:t>
      </w:r>
      <w:r>
        <w:rPr/>
        <w:t xml:space="preserve"> make sure to set the CRS: </w:t>
      </w:r>
      <w:r>
        <w:rPr>
          <w:rStyle w:val="VerbatimChar"/>
        </w:rPr>
        <w:t>st_crs(&lt;DATASET&gt;) &lt;- 3857</w:t>
      </w:r>
      <w:r>
        <w:rPr/>
        <w:t>.</w:t>
      </w:r>
    </w:p>
    <w:p>
      <w:pPr>
        <w:pStyle w:val="TextBody"/>
        <w:rPr/>
      </w:pPr>
      <w:r>
        <w:rPr/>
        <w:t xml:space="preserve">More information on the </w:t>
      </w:r>
      <w:r>
        <w:rPr>
          <w:rStyle w:val="VerbatimChar"/>
        </w:rPr>
        <w:t>tgs00010_unempl_nuts2.csv</w:t>
      </w:r>
      <w:r>
        <w:rPr/>
        <w:t xml:space="preserve"> dataset:</w:t>
      </w:r>
    </w:p>
    <w:p>
      <w:pPr>
        <w:pStyle w:val="Compact"/>
        <w:numPr>
          <w:ilvl w:val="0"/>
          <w:numId w:val="8"/>
        </w:numPr>
        <w:rPr/>
      </w:pPr>
      <w:r>
        <w:rPr/>
        <w:t xml:space="preserve">source: </w:t>
      </w:r>
      <w:hyperlink r:id="rId21">
        <w:r>
          <w:rPr>
            <w:rStyle w:val="InternetLink"/>
          </w:rPr>
          <w:t>Eurostats / Regions &amp; cities</w:t>
        </w:r>
      </w:hyperlink>
    </w:p>
    <w:p>
      <w:pPr>
        <w:pStyle w:val="Compact"/>
        <w:numPr>
          <w:ilvl w:val="0"/>
          <w:numId w:val="8"/>
        </w:numPr>
        <w:rPr/>
      </w:pPr>
      <w:r>
        <w:rPr/>
        <w:t>variables:</w:t>
      </w:r>
    </w:p>
    <w:p>
      <w:pPr>
        <w:pStyle w:val="Compact"/>
        <w:numPr>
          <w:ilvl w:val="1"/>
          <w:numId w:val="9"/>
        </w:numPr>
        <w:rPr/>
      </w:pPr>
      <w:r>
        <w:rPr>
          <w:rStyle w:val="VerbatimChar"/>
        </w:rPr>
        <w:t>sex</w:t>
      </w:r>
      <w:r>
        <w:rPr/>
        <w:t xml:space="preserve">: </w:t>
      </w:r>
      <w:r>
        <w:rPr>
          <w:rStyle w:val="VerbatimChar"/>
        </w:rPr>
        <w:t>F</w:t>
      </w:r>
      <w:r>
        <w:rPr/>
        <w:t xml:space="preserve"> means unemployment rate for women, </w:t>
      </w:r>
      <w:r>
        <w:rPr>
          <w:rStyle w:val="VerbatimChar"/>
        </w:rPr>
        <w:t>M</w:t>
      </w:r>
      <w:r>
        <w:rPr/>
        <w:t xml:space="preserve"> for men, </w:t>
      </w:r>
      <w:r>
        <w:rPr>
          <w:rStyle w:val="VerbatimChar"/>
        </w:rPr>
        <w:t>T</w:t>
      </w:r>
      <w:r>
        <w:rPr/>
        <w:t xml:space="preserve"> for both</w:t>
      </w:r>
    </w:p>
    <w:p>
      <w:pPr>
        <w:pStyle w:val="Compact"/>
        <w:numPr>
          <w:ilvl w:val="1"/>
          <w:numId w:val="9"/>
        </w:numPr>
        <w:rPr/>
      </w:pPr>
      <w:r>
        <w:rPr>
          <w:rStyle w:val="VerbatimChar"/>
        </w:rPr>
        <w:t>nuts</w:t>
      </w:r>
      <w:r>
        <w:rPr/>
        <w:t>: NUTS level-2 region code</w:t>
      </w:r>
    </w:p>
    <w:p>
      <w:pPr>
        <w:pStyle w:val="Compact"/>
        <w:numPr>
          <w:ilvl w:val="1"/>
          <w:numId w:val="9"/>
        </w:numPr>
        <w:rPr/>
      </w:pPr>
      <w:r>
        <w:rPr>
          <w:rStyle w:val="VerbatimChar"/>
        </w:rPr>
        <w:t>year</w:t>
      </w:r>
      <w:r>
        <w:rPr/>
        <w:t>: year when the data was collected</w:t>
      </w:r>
    </w:p>
    <w:p>
      <w:pPr>
        <w:pStyle w:val="Compact"/>
        <w:numPr>
          <w:ilvl w:val="1"/>
          <w:numId w:val="9"/>
        </w:numPr>
        <w:rPr/>
      </w:pPr>
      <w:r>
        <w:rPr>
          <w:rStyle w:val="VerbatimChar"/>
        </w:rPr>
        <w:t>unempl_pct</w:t>
      </w:r>
      <w:r>
        <w:rPr/>
        <w:t>: unemployment rate in percent</w:t>
      </w:r>
    </w:p>
    <w:p>
      <w:pPr>
        <w:pStyle w:val="FirstParagraph"/>
        <w:rPr/>
      </w:pPr>
      <w:r>
        <w:rPr/>
        <w:t>In case you want to use a different Eurostats dataset or a different NUTS map, you can download these resources here:</w:t>
      </w:r>
    </w:p>
    <w:p>
      <w:pPr>
        <w:pStyle w:val="Compact"/>
        <w:numPr>
          <w:ilvl w:val="0"/>
          <w:numId w:val="10"/>
        </w:numPr>
        <w:rPr/>
      </w:pPr>
      <w:r>
        <w:rPr/>
        <w:t xml:space="preserve">for the datasets: </w:t>
      </w:r>
      <w:hyperlink r:id="rId22">
        <w:r>
          <w:rPr>
            <w:rStyle w:val="InternetLink"/>
          </w:rPr>
          <w:t>https://ec.europa.eu/eurostat/data/browse-statistics-by-theme</w:t>
        </w:r>
      </w:hyperlink>
    </w:p>
    <w:p>
      <w:pPr>
        <w:pStyle w:val="Compact"/>
        <w:numPr>
          <w:ilvl w:val="0"/>
          <w:numId w:val="10"/>
        </w:numPr>
        <w:rPr/>
      </w:pPr>
      <w:r>
        <w:rPr/>
        <w:t xml:space="preserve">for the NUTS maps: </w:t>
      </w:r>
      <w:hyperlink r:id="rId23">
        <w:r>
          <w:rPr>
            <w:rStyle w:val="InternetLink"/>
          </w:rPr>
          <w:t>https://github.com/eurostat/Nuts2json</w:t>
        </w:r>
      </w:hyperlink>
    </w:p>
    <w:p>
      <w:pPr>
        <w:pStyle w:val="Heading1"/>
        <w:rPr/>
      </w:pPr>
      <w:bookmarkStart w:id="24" w:name="sources-for-geo-data"/>
      <w:bookmarkEnd w:id="24"/>
      <w:r>
        <w:rPr/>
        <w:t>Sources for geo-data</w:t>
      </w:r>
    </w:p>
    <w:p>
      <w:pPr>
        <w:pStyle w:val="Heading2"/>
        <w:rPr/>
      </w:pPr>
      <w:bookmarkStart w:id="25" w:name="r-packages"/>
      <w:bookmarkEnd w:id="25"/>
      <w:r>
        <w:rPr/>
        <w:t>R packages</w:t>
      </w:r>
    </w:p>
    <w:p>
      <w:pPr>
        <w:pStyle w:val="FirstParagraph"/>
        <w:rPr/>
      </w:pPr>
      <w:r>
        <w:rPr/>
        <w:t>The following packages come directly with geo-data or provide means to download them programmatically:</w:t>
      </w:r>
    </w:p>
    <w:p>
      <w:pPr>
        <w:pStyle w:val="Compact"/>
        <w:numPr>
          <w:ilvl w:val="0"/>
          <w:numId w:val="11"/>
        </w:numPr>
        <w:rPr/>
      </w:pPr>
      <w:hyperlink r:id="rId24">
        <w:r>
          <w:rPr>
            <w:rStyle w:val="InternetLink"/>
          </w:rPr>
          <w:t>maps</w:t>
        </w:r>
      </w:hyperlink>
      <w:r>
        <w:rPr/>
        <w:t>: World, USA, US states, US counties and more</w:t>
      </w:r>
    </w:p>
    <w:p>
      <w:pPr>
        <w:pStyle w:val="Compact"/>
        <w:numPr>
          <w:ilvl w:val="0"/>
          <w:numId w:val="11"/>
        </w:numPr>
        <w:rPr/>
      </w:pPr>
      <w:hyperlink r:id="rId25">
        <w:r>
          <w:rPr>
            <w:rStyle w:val="InternetLink"/>
          </w:rPr>
          <w:t>mapdata</w:t>
        </w:r>
      </w:hyperlink>
      <w:r>
        <w:rPr/>
        <w:t>: World in higher resolution, China, Japan and more</w:t>
      </w:r>
    </w:p>
    <w:p>
      <w:pPr>
        <w:pStyle w:val="Compact"/>
        <w:numPr>
          <w:ilvl w:val="0"/>
          <w:numId w:val="11"/>
        </w:numPr>
        <w:rPr/>
      </w:pPr>
      <w:hyperlink r:id="rId26">
        <w:r>
          <w:rPr>
            <w:rStyle w:val="InternetLink"/>
          </w:rPr>
          <w:t>rnaturalearth</w:t>
        </w:r>
      </w:hyperlink>
      <w:r>
        <w:rPr/>
        <w:t xml:space="preserve">: </w:t>
      </w:r>
      <w:r>
        <w:rPr>
          <w:i/>
        </w:rPr>
        <w:t>R package to hold and facilitate interaction with natural earth vector map data.</w:t>
      </w:r>
      <w:r>
        <w:rPr/>
        <w:t xml:space="preserve"> → see next section</w:t>
      </w:r>
    </w:p>
    <w:p>
      <w:pPr>
        <w:pStyle w:val="Compact"/>
        <w:numPr>
          <w:ilvl w:val="0"/>
          <w:numId w:val="11"/>
        </w:numPr>
        <w:rPr/>
      </w:pPr>
      <w:hyperlink r:id="rId27">
        <w:r>
          <w:rPr>
            <w:rStyle w:val="InternetLink"/>
          </w:rPr>
          <w:t>OpenStreetMap</w:t>
        </w:r>
      </w:hyperlink>
      <w:r>
        <w:rPr/>
        <w:t>: Access to the OpenStreetMap API → see next section</w:t>
      </w:r>
    </w:p>
    <w:p>
      <w:pPr>
        <w:pStyle w:val="Heading2"/>
        <w:rPr/>
      </w:pPr>
      <w:bookmarkStart w:id="26" w:name="natural-earth-data"/>
      <w:bookmarkEnd w:id="26"/>
      <w:r>
        <w:rPr/>
        <w:t>Natural Earth Data</w:t>
      </w:r>
    </w:p>
    <w:p>
      <w:pPr>
        <w:pStyle w:val="FirstParagraph"/>
        <w:rPr/>
      </w:pPr>
      <w:hyperlink r:id="rId28">
        <w:r>
          <w:rPr>
            <w:rStyle w:val="InternetLink"/>
          </w:rPr>
          <w:t>naturalearthdata.com</w:t>
        </w:r>
      </w:hyperlink>
      <w:r>
        <w:rPr/>
        <w:t xml:space="preserve">: </w:t>
      </w:r>
      <w:r>
        <w:rPr>
          <w:i/>
        </w:rPr>
        <w:t xml:space="preserve">Natural Earth is a </w:t>
      </w:r>
      <w:r>
        <w:rPr>
          <w:b/>
          <w:i/>
        </w:rPr>
        <w:t>public domain map dataset</w:t>
      </w:r>
      <w:r>
        <w:rPr>
          <w:i/>
        </w:rPr>
        <w:t xml:space="preserve"> available at 1:10m, 1:50m, and 1:110 million scales. Featuring tightly integrated vector and raster data, with Natural Earth you can make a variety of visually pleasing, well-crafted maps with cartography or GIS software.</w:t>
      </w:r>
    </w:p>
    <w:p>
      <w:pPr>
        <w:pStyle w:val="TextBody"/>
        <w:rPr/>
      </w:pPr>
      <w:r>
        <w:rPr/>
        <w:t>Provides vector data for:</w:t>
      </w:r>
    </w:p>
    <w:p>
      <w:pPr>
        <w:pStyle w:val="Compact"/>
        <w:numPr>
          <w:ilvl w:val="0"/>
          <w:numId w:val="12"/>
        </w:numPr>
        <w:rPr/>
      </w:pPr>
      <w:r>
        <w:rPr/>
        <w:t>countries and provinces, departments, states, etc.</w:t>
      </w:r>
    </w:p>
    <w:p>
      <w:pPr>
        <w:pStyle w:val="Compact"/>
        <w:numPr>
          <w:ilvl w:val="0"/>
          <w:numId w:val="12"/>
        </w:numPr>
        <w:rPr/>
      </w:pPr>
      <w:r>
        <w:rPr/>
        <w:t>populated places (capitals, major cities and towns)</w:t>
      </w:r>
    </w:p>
    <w:p>
      <w:pPr>
        <w:pStyle w:val="Compact"/>
        <w:numPr>
          <w:ilvl w:val="0"/>
          <w:numId w:val="12"/>
        </w:numPr>
        <w:rPr/>
      </w:pPr>
      <w:r>
        <w:rPr/>
        <w:t>physical features such as lakes, rivers, etc.</w:t>
      </w:r>
    </w:p>
    <w:p>
      <w:pPr>
        <w:pStyle w:val="FirstParagraph"/>
        <w:rPr/>
      </w:pPr>
      <w:r>
        <w:rPr/>
        <w:t xml:space="preserve">You can either download the data directly from the website or use the package </w:t>
      </w:r>
      <w:hyperlink r:id="rId29">
        <w:r>
          <w:rPr>
            <w:rStyle w:val="InternetLink"/>
          </w:rPr>
          <w:t>rnaturalearth</w:t>
        </w:r>
      </w:hyperlink>
      <w:r>
        <w:rPr/>
        <w:t>.</w:t>
      </w:r>
    </w:p>
    <w:p>
      <w:pPr>
        <w:pStyle w:val="Heading2"/>
        <w:rPr/>
      </w:pPr>
      <w:bookmarkStart w:id="27" w:name="open-street-map"/>
      <w:bookmarkEnd w:id="27"/>
      <w:r>
        <w:rPr/>
        <w:t>Open Street Map</w:t>
      </w:r>
    </w:p>
    <w:p>
      <w:pPr>
        <w:pStyle w:val="Compact"/>
        <w:numPr>
          <w:ilvl w:val="0"/>
          <w:numId w:val="13"/>
        </w:numPr>
        <w:rPr/>
      </w:pPr>
      <w:r>
        <w:rPr/>
        <w:t xml:space="preserve">provides even more detail than </w:t>
      </w:r>
      <w:r>
        <w:rPr>
          <w:i/>
        </w:rPr>
        <w:t>Natural Earth Data</w:t>
      </w:r>
      <w:r>
        <w:rPr/>
        <w:t>: streets, pathways, bus stops, metro lines, etc.</w:t>
      </w:r>
    </w:p>
    <w:p>
      <w:pPr>
        <w:pStyle w:val="Compact"/>
        <w:numPr>
          <w:ilvl w:val="0"/>
          <w:numId w:val="13"/>
        </w:numPr>
        <w:rPr/>
      </w:pPr>
      <w:hyperlink r:id="rId30">
        <w:r>
          <w:rPr>
            <w:rStyle w:val="InternetLink"/>
          </w:rPr>
          <w:t>GeoFabrik</w:t>
        </w:r>
      </w:hyperlink>
      <w:r>
        <w:rPr/>
        <w:t xml:space="preserve"> provides downloads of the raw data</w:t>
      </w:r>
    </w:p>
    <w:p>
      <w:pPr>
        <w:pStyle w:val="Compact"/>
        <w:numPr>
          <w:ilvl w:val="0"/>
          <w:numId w:val="13"/>
        </w:numPr>
        <w:rPr/>
      </w:pPr>
      <w:r>
        <w:rPr/>
        <w:t>is much harder to work with b/c of the complexity of the data</w:t>
      </w:r>
    </w:p>
    <w:p>
      <w:pPr>
        <w:pStyle w:val="FirstParagraph"/>
        <w:rPr/>
      </w:pPr>
      <w:hyperlink r:id="rId31">
        <w:r>
          <w:rPr>
            <w:rStyle w:val="InternetLink"/>
          </w:rPr>
          <w:t>OSM Admin Boundaries Map</w:t>
        </w:r>
      </w:hyperlink>
      <w:r>
        <w:rPr/>
        <w:t>: web-service to download administrative boundaries worldwide for different levels in different formats (shapefile, GeoJSON, etc.); contains meta-data (depending on country) such as AGS in Germany</w:t>
      </w:r>
    </w:p>
    <w:p>
      <w:pPr>
        <w:pStyle w:val="TextBody"/>
        <w:rPr/>
      </w:pPr>
      <w:r>
        <w:fldChar w:fldCharType="begin"/>
      </w:r>
      <w:r>
        <w:rPr>
          <w:rStyle w:val="InternetLink"/>
        </w:rPr>
        <w:instrText> HYPERLINK "https://wiki.openstreetmap.org/wiki/DE:Grenze" \l "Gemeinden_.E2.80.93_admin_level.3D7.E2.80.938"</w:instrText>
      </w:r>
      <w:r>
        <w:rPr>
          <w:rStyle w:val="InternetLink"/>
        </w:rPr>
        <w:fldChar w:fldCharType="separate"/>
      </w:r>
      <w:r>
        <w:rPr>
          <w:rStyle w:val="InternetLink"/>
        </w:rPr>
        <w:t>This wiki article</w:t>
      </w:r>
      <w:r>
        <w:rPr>
          <w:rStyle w:val="InternetLink"/>
        </w:rPr>
        <w:fldChar w:fldCharType="end"/>
      </w:r>
      <w:r>
        <w:rPr/>
        <w:t xml:space="preserve"> explains which OpenStreetMap administrative boundary levels correspond to which regional level in Germany (e.g. level 6 corresponds to “Kreise”).</w:t>
      </w:r>
    </w:p>
    <w:p>
      <w:pPr>
        <w:pStyle w:val="FigurewithCaption"/>
        <w:rPr/>
      </w:pPr>
      <w:r>
        <w:rPr/>
        <w:drawing>
          <wp:inline distT="0" distB="0" distL="114935" distR="114935">
            <wp:extent cx="5334000" cy="2748280"/>
            <wp:effectExtent l="0" t="0" r="0" b="0"/>
            <wp:docPr id="15" name="Image14" descr="OSM Admin Boundaries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" descr="OSM Admin Boundaries screenshot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mageCaption"/>
        <w:rPr/>
      </w:pPr>
      <w:r>
        <w:rPr/>
        <w:t>OSM Admin Boundaries screenshot</w:t>
      </w:r>
    </w:p>
    <w:p>
      <w:pPr>
        <w:pStyle w:val="Heading2"/>
        <w:rPr/>
      </w:pPr>
      <w:bookmarkStart w:id="28" w:name="administrative-authorities-in-the-eu"/>
      <w:bookmarkEnd w:id="28"/>
      <w:r>
        <w:rPr/>
        <w:t>Administrative authorities in the EU</w:t>
      </w:r>
    </w:p>
    <w:p>
      <w:pPr>
        <w:pStyle w:val="FirstParagraph"/>
        <w:rPr/>
      </w:pPr>
      <w:r>
        <w:rPr/>
        <w:t xml:space="preserve">Administrative authorities often provide geo-data. In the EU, the main source is </w:t>
      </w:r>
      <w:hyperlink r:id="rId33">
        <w:r>
          <w:rPr>
            <w:rStyle w:val="InternetLink"/>
          </w:rPr>
          <w:t>Eurostat</w:t>
        </w:r>
      </w:hyperlink>
      <w:r>
        <w:rPr/>
        <w:t xml:space="preserve"> which provides data referenced by NUTS code.</w:t>
      </w:r>
    </w:p>
    <w:p>
      <w:pPr>
        <w:pStyle w:val="Compact"/>
        <w:numPr>
          <w:ilvl w:val="0"/>
          <w:numId w:val="14"/>
        </w:numPr>
        <w:rPr/>
      </w:pPr>
      <w:hyperlink r:id="rId34">
        <w:r>
          <w:rPr>
            <w:rStyle w:val="InternetLink"/>
          </w:rPr>
          <w:t>main NUTS datasets as SHP, GeoJSON, TopoJSON, SVG</w:t>
        </w:r>
      </w:hyperlink>
    </w:p>
    <w:p>
      <w:pPr>
        <w:pStyle w:val="Compact"/>
        <w:numPr>
          <w:ilvl w:val="0"/>
          <w:numId w:val="14"/>
        </w:numPr>
        <w:rPr/>
      </w:pPr>
      <w:hyperlink r:id="rId35">
        <w:r>
          <w:rPr>
            <w:rStyle w:val="InternetLink"/>
          </w:rPr>
          <w:t>Nuts2json</w:t>
        </w:r>
      </w:hyperlink>
      <w:r>
        <w:rPr/>
        <w:t xml:space="preserve"> provides another overview for GeoJSON and TopoJSON datasets</w:t>
      </w:r>
    </w:p>
    <w:p>
      <w:pPr>
        <w:pStyle w:val="Compact"/>
        <w:numPr>
          <w:ilvl w:val="0"/>
          <w:numId w:val="14"/>
        </w:numPr>
        <w:rPr/>
      </w:pPr>
      <w:hyperlink r:id="rId36">
        <w:r>
          <w:rPr>
            <w:rStyle w:val="InternetLink"/>
          </w:rPr>
          <w:t>correspondence tables</w:t>
        </w:r>
      </w:hyperlink>
      <w:r>
        <w:rPr/>
        <w:t xml:space="preserve"> map national structures and postcodes to NUTS regions</w:t>
      </w:r>
    </w:p>
    <w:p>
      <w:pPr>
        <w:pStyle w:val="Heading2"/>
        <w:rPr/>
      </w:pPr>
      <w:bookmarkStart w:id="29" w:name="administrative-authorities-in-germany"/>
      <w:bookmarkEnd w:id="29"/>
      <w:r>
        <w:rPr/>
        <w:t>Administrative authorities in Germany</w:t>
      </w:r>
    </w:p>
    <w:p>
      <w:pPr>
        <w:pStyle w:val="FirstParagraph"/>
        <w:rPr/>
      </w:pPr>
      <w:r>
        <w:rPr>
          <w:i/>
        </w:rPr>
        <w:t>Statistisches Bundesamt</w:t>
      </w:r>
      <w:r>
        <w:rPr/>
        <w:t xml:space="preserve"> provides </w:t>
      </w:r>
      <w:hyperlink r:id="rId37">
        <w:r>
          <w:rPr>
            <w:rStyle w:val="InternetLink"/>
          </w:rPr>
          <w:t>geo-referenced data</w:t>
        </w:r>
      </w:hyperlink>
      <w:r>
        <w:rPr/>
        <w:t>, such as:</w:t>
      </w:r>
    </w:p>
    <w:p>
      <w:pPr>
        <w:pStyle w:val="Compact"/>
        <w:numPr>
          <w:ilvl w:val="0"/>
          <w:numId w:val="15"/>
        </w:numPr>
        <w:rPr/>
      </w:pPr>
      <w:hyperlink r:id="rId38">
        <w:r>
          <w:rPr>
            <w:rStyle w:val="InternetLink"/>
          </w:rPr>
          <w:t>Gemeindeverzeichnis</w:t>
        </w:r>
      </w:hyperlink>
      <w:r>
        <w:rPr/>
        <w:t>: AGS, area, population, etc.</w:t>
      </w:r>
    </w:p>
    <w:p>
      <w:pPr>
        <w:pStyle w:val="Compact"/>
        <w:numPr>
          <w:ilvl w:val="0"/>
          <w:numId w:val="15"/>
        </w:numPr>
        <w:rPr/>
      </w:pPr>
      <w:hyperlink r:id="rId39">
        <w:r>
          <w:rPr>
            <w:rStyle w:val="InternetLink"/>
          </w:rPr>
          <w:t>Regionaldatenbank</w:t>
        </w:r>
      </w:hyperlink>
      <w:r>
        <w:rPr/>
        <w:t>: GDP, building land value, etc.</w:t>
      </w:r>
    </w:p>
    <w:p>
      <w:pPr>
        <w:pStyle w:val="Compact"/>
        <w:numPr>
          <w:ilvl w:val="0"/>
          <w:numId w:val="15"/>
        </w:numPr>
        <w:rPr/>
      </w:pPr>
      <w:hyperlink r:id="rId40">
        <w:r>
          <w:rPr>
            <w:rStyle w:val="InternetLink"/>
          </w:rPr>
          <w:t>govdata.de</w:t>
        </w:r>
      </w:hyperlink>
      <w:r>
        <w:rPr/>
        <w:t>: Open data portal for Germany – lots of data, but not very well curated and documented</w:t>
      </w:r>
    </w:p>
    <w:p>
      <w:pPr>
        <w:pStyle w:val="FirstParagraph"/>
        <w:rPr/>
      </w:pPr>
      <w:r>
        <w:rPr/>
        <w:t>Berlin:</w:t>
      </w:r>
    </w:p>
    <w:p>
      <w:pPr>
        <w:pStyle w:val="Compact"/>
        <w:numPr>
          <w:ilvl w:val="0"/>
          <w:numId w:val="16"/>
        </w:numPr>
        <w:rPr/>
      </w:pPr>
      <w:hyperlink r:id="rId41">
        <w:r>
          <w:rPr>
            <w:rStyle w:val="InternetLink"/>
          </w:rPr>
          <w:t>Senate Department for Urban Development and Housing</w:t>
        </w:r>
      </w:hyperlink>
      <w:r>
        <w:rPr/>
        <w:t xml:space="preserve"> for example provides datasets based on </w:t>
      </w:r>
      <w:hyperlink r:id="rId42">
        <w:r>
          <w:rPr>
            <w:rStyle w:val="InternetLink"/>
          </w:rPr>
          <w:t>LOR units</w:t>
        </w:r>
      </w:hyperlink>
    </w:p>
    <w:p>
      <w:pPr>
        <w:pStyle w:val="Compact"/>
        <w:numPr>
          <w:ilvl w:val="0"/>
          <w:numId w:val="16"/>
        </w:numPr>
        <w:rPr/>
      </w:pPr>
      <w:hyperlink r:id="rId43">
        <w:r>
          <w:rPr>
            <w:rStyle w:val="InternetLink"/>
          </w:rPr>
          <w:t>FIS Broker</w:t>
        </w:r>
      </w:hyperlink>
      <w:r>
        <w:rPr/>
        <w:t xml:space="preserve"> is a web-service providing all publicly available geo-referenced data – </w:t>
      </w:r>
      <w:hyperlink r:id="rId44">
        <w:r>
          <w:rPr>
            <w:rStyle w:val="InternetLink"/>
          </w:rPr>
          <w:t>this post</w:t>
        </w:r>
      </w:hyperlink>
      <w:r>
        <w:rPr/>
        <w:t xml:space="preserve"> shows how to use it</w:t>
      </w:r>
    </w:p>
    <w:p>
      <w:pPr>
        <w:pStyle w:val="Heading2"/>
        <w:rPr/>
      </w:pPr>
      <w:bookmarkStart w:id="30" w:name="what-about-historical-data"/>
      <w:bookmarkEnd w:id="30"/>
      <w:r>
        <w:rPr/>
        <w:t>What about historical data?</w:t>
      </w:r>
    </w:p>
    <w:p>
      <w:pPr>
        <w:pStyle w:val="FirstParagraph"/>
        <w:rPr/>
      </w:pPr>
      <w:r>
        <w:rPr/>
        <w:t>Geographic areas such as administrative borders change. Identifiers may change, too. Make sure to use the version that matches your dataset!</w:t>
      </w:r>
    </w:p>
    <w:p>
      <w:pPr>
        <w:pStyle w:val="Compact"/>
        <w:numPr>
          <w:ilvl w:val="0"/>
          <w:numId w:val="17"/>
        </w:numPr>
        <w:rPr/>
      </w:pPr>
      <w:r>
        <w:rPr>
          <w:i/>
        </w:rPr>
        <w:t>Eurostat</w:t>
      </w:r>
      <w:r>
        <w:rPr/>
        <w:t xml:space="preserve"> provides historical NUTS areas back to 2003</w:t>
      </w:r>
    </w:p>
    <w:p>
      <w:pPr>
        <w:pStyle w:val="Compact"/>
        <w:numPr>
          <w:ilvl w:val="0"/>
          <w:numId w:val="17"/>
        </w:numPr>
        <w:rPr/>
      </w:pPr>
      <w:r>
        <w:rPr>
          <w:i/>
        </w:rPr>
        <w:t>Statistisches Bundesamt</w:t>
      </w:r>
      <w:r>
        <w:rPr/>
        <w:t xml:space="preserve"> also provides an archive</w:t>
      </w:r>
    </w:p>
    <w:p>
      <w:pPr>
        <w:pStyle w:val="Heading1"/>
        <w:rPr/>
      </w:pPr>
      <w:bookmarkStart w:id="31" w:name="glossary"/>
      <w:bookmarkEnd w:id="31"/>
      <w:r>
        <w:rPr/>
        <w:t>Glossary</w:t>
      </w:r>
    </w:p>
    <w:p>
      <w:pPr>
        <w:pStyle w:val="FirstParagraph"/>
        <w:rPr/>
      </w:pPr>
      <w:r>
        <w:rPr>
          <w:b/>
        </w:rPr>
        <w:t>AGS:</w:t>
      </w:r>
      <w:r>
        <w:rPr/>
        <w:t xml:space="preserve"> </w:t>
      </w:r>
      <w:r>
        <w:rPr>
          <w:i/>
        </w:rPr>
        <w:t>Amtlicher Gemeindeschlüssel</w:t>
      </w:r>
      <w:r>
        <w:rPr/>
        <w:t xml:space="preserve"> – municipality identificator in Germany.</w:t>
      </w:r>
    </w:p>
    <w:p>
      <w:pPr>
        <w:pStyle w:val="TextBody"/>
        <w:rPr/>
      </w:pPr>
      <w:r>
        <w:rPr>
          <w:b/>
        </w:rPr>
        <w:t>CRS:</w:t>
      </w:r>
      <w:r>
        <w:rPr/>
        <w:t xml:space="preserve"> Coordinate reference system – defines the coordinate system (spherical, ellipsoid, cartesian, etc.), unit of measurment (degrees, meters, etc.) and map projection of points in a spatial dataset in order to locate geographical entities</w:t>
      </w:r>
    </w:p>
    <w:p>
      <w:pPr>
        <w:pStyle w:val="TextBody"/>
        <w:rPr/>
      </w:pPr>
      <w:r>
        <w:rPr>
          <w:b/>
        </w:rPr>
        <w:t>CRAN:</w:t>
      </w:r>
      <w:r>
        <w:rPr/>
        <w:t xml:space="preserve"> </w:t>
      </w:r>
      <w:r>
        <w:rPr>
          <w:i/>
        </w:rPr>
        <w:t>Comprehensive R Archive Network</w:t>
      </w:r>
      <w:r>
        <w:rPr/>
        <w:t xml:space="preserve"> – repository of packages that extend the statistical software suite R.</w:t>
      </w:r>
    </w:p>
    <w:p>
      <w:pPr>
        <w:pStyle w:val="TextBody"/>
        <w:rPr/>
      </w:pPr>
      <w:r>
        <w:rPr>
          <w:b/>
        </w:rPr>
        <w:t>EPSG:</w:t>
      </w:r>
      <w:r>
        <w:rPr/>
        <w:t xml:space="preserve"> </w:t>
      </w:r>
      <w:r>
        <w:rPr>
          <w:i/>
        </w:rPr>
        <w:t>European Petroleum Survey Group</w:t>
      </w:r>
      <w:r>
        <w:rPr/>
        <w:t xml:space="preserve"> – a scientific organization tied to European petroleum industry. Created the </w:t>
      </w:r>
      <w:r>
        <w:rPr>
          <w:i/>
        </w:rPr>
        <w:t>EPSG Geodetic Parameter Set</w:t>
      </w:r>
      <w:r>
        <w:rPr/>
        <w:t>, which among other things contains a database of →CRS identified by EPSG →SRID code</w:t>
      </w:r>
    </w:p>
    <w:p>
      <w:pPr>
        <w:pStyle w:val="TextBody"/>
        <w:rPr/>
      </w:pPr>
      <w:r>
        <w:rPr>
          <w:b/>
        </w:rPr>
        <w:t>ETRS89:</w:t>
      </w:r>
      <w:r>
        <w:rPr/>
        <w:t xml:space="preserve"> </w:t>
      </w:r>
      <w:r>
        <w:rPr>
          <w:i/>
        </w:rPr>
        <w:t>European Terrestrial Reference System 1989</w:t>
      </w:r>
      <w:r>
        <w:rPr/>
        <w:t xml:space="preserve"> – EU-recommended frame of reference for geodata for Europe; defines a →CRS.</w:t>
      </w:r>
    </w:p>
    <w:p>
      <w:pPr>
        <w:pStyle w:val="TextBody"/>
        <w:rPr/>
      </w:pPr>
      <w:r>
        <w:rPr>
          <w:b/>
        </w:rPr>
        <w:t>GIS:</w:t>
      </w:r>
      <w:r>
        <w:rPr/>
        <w:t xml:space="preserve"> </w:t>
      </w:r>
      <w:r>
        <w:rPr>
          <w:i/>
        </w:rPr>
        <w:t>Geographic information system</w:t>
      </w:r>
      <w:r>
        <w:rPr/>
        <w:t xml:space="preserve"> – a system such as a software like →QGIS designed to work with geographic data.</w:t>
      </w:r>
    </w:p>
    <w:p>
      <w:pPr>
        <w:pStyle w:val="TextBody"/>
        <w:rPr/>
      </w:pPr>
      <w:r>
        <w:rPr>
          <w:b/>
        </w:rPr>
        <w:t>Lat / Latitude:</w:t>
      </w:r>
      <w:r>
        <w:rPr/>
        <w:t xml:space="preserve"> Geographic coordinate that defines the north-south position of a point on Earth as an angle between -90° (south pole) and 90° (north pole). The equator is located at 0° latitude.</w:t>
      </w:r>
    </w:p>
    <w:p>
      <w:pPr>
        <w:pStyle w:val="TextBody"/>
        <w:rPr/>
      </w:pPr>
      <w:r>
        <w:rPr>
          <w:b/>
        </w:rPr>
        <w:t>Lon / Long / Lng / Longitude:</w:t>
      </w:r>
      <w:r>
        <w:rPr/>
        <w:t xml:space="preserve"> Geographic coordinate that defines the east-west position of a point on Earth as an angle between -180° (westward) and 180° (eastward). The Prime Meridian is located at 0° longitude.</w:t>
      </w:r>
    </w:p>
    <w:p>
      <w:pPr>
        <w:pStyle w:val="TextBody"/>
        <w:rPr/>
      </w:pPr>
      <w:r>
        <w:rPr>
          <w:b/>
        </w:rPr>
        <w:t>LOR:</w:t>
      </w:r>
      <w:r>
        <w:rPr/>
        <w:t xml:space="preserve"> </w:t>
      </w:r>
      <w:r>
        <w:rPr>
          <w:i/>
        </w:rPr>
        <w:t>Lebensweltlich orientierte Räume</w:t>
      </w:r>
      <w:r>
        <w:rPr/>
        <w:t xml:space="preserve"> – structures the city area of Berlin into sub-regions at three different levels; each area is identified by a LOR code.</w:t>
      </w:r>
    </w:p>
    <w:p>
      <w:pPr>
        <w:pStyle w:val="TextBody"/>
        <w:rPr/>
      </w:pPr>
      <w:r>
        <w:rPr>
          <w:b/>
        </w:rPr>
        <w:t>NUTS:</w:t>
      </w:r>
      <w:r>
        <w:rPr/>
        <w:t xml:space="preserve"> </w:t>
      </w:r>
      <w:r>
        <w:rPr>
          <w:i/>
        </w:rPr>
        <w:t>Nomenclature of Territorial Units for Statistics</w:t>
      </w:r>
      <w:r>
        <w:rPr/>
        <w:t xml:space="preserve"> – divides the EU territory into regions at 3 different levels for socio-economic analyses of the regions; each area is identified by a NUTS code.</w:t>
      </w:r>
    </w:p>
    <w:p>
      <w:pPr>
        <w:pStyle w:val="TextBody"/>
        <w:rPr/>
      </w:pPr>
      <w:r>
        <w:rPr>
          <w:b/>
        </w:rPr>
        <w:t>QGIS:</w:t>
      </w:r>
      <w:r>
        <w:rPr/>
        <w:t xml:space="preserve"> free and open-source →GIS application.</w:t>
      </w:r>
    </w:p>
    <w:p>
      <w:pPr>
        <w:pStyle w:val="TextBody"/>
        <w:rPr/>
      </w:pPr>
      <w:r>
        <w:rPr>
          <w:b/>
        </w:rPr>
        <w:t>SRID:</w:t>
      </w:r>
      <w:r>
        <w:rPr/>
        <w:t xml:space="preserve"> </w:t>
      </w:r>
      <w:r>
        <w:rPr>
          <w:i/>
        </w:rPr>
        <w:t>Spatial Reference System Identifier</w:t>
      </w:r>
      <w:r>
        <w:rPr/>
        <w:t xml:space="preserve"> – identifies a →CRS by a unique code number which is listed in the →EPSG database. Because of this, it is often also called EPSG code or number. Examples: EPSG:4326 refers to →WGS84; EPSG:4258 refers to →ETRS89.</w:t>
      </w:r>
    </w:p>
    <w:p>
      <w:pPr>
        <w:pStyle w:val="TextBody"/>
        <w:rPr/>
      </w:pPr>
      <w:r>
        <w:rPr>
          <w:b/>
        </w:rPr>
        <w:t>SRS:</w:t>
      </w:r>
      <w:r>
        <w:rPr/>
        <w:t xml:space="preserve"> </w:t>
      </w:r>
      <w:r>
        <w:rPr>
          <w:i/>
        </w:rPr>
        <w:t>Spatial Reference System</w:t>
      </w:r>
      <w:r>
        <w:rPr/>
        <w:t xml:space="preserve"> – see →CRS.</w:t>
      </w:r>
    </w:p>
    <w:p>
      <w:pPr>
        <w:pStyle w:val="TextBody"/>
        <w:spacing w:before="180" w:after="180"/>
        <w:rPr/>
      </w:pPr>
      <w:r>
        <w:rPr>
          <w:b/>
        </w:rPr>
        <w:t>WGS84:</w:t>
      </w:r>
      <w:r>
        <w:rPr/>
        <w:t xml:space="preserve"> </w:t>
      </w:r>
      <w:r>
        <w:rPr>
          <w:i/>
        </w:rPr>
        <w:t>World Geodetic System 1989</w:t>
      </w:r>
      <w:r>
        <w:rPr/>
        <w:t xml:space="preserve"> – defines a →CRS at global scale. Coordinates are defined in degrees as →longitude and →latitude.</w:t>
      </w:r>
    </w:p>
    <w:sectPr>
      <w:type w:val="nextPage"/>
      <w:pgSz w:w="12240" w:h="15840"/>
      <w:pgMar w:left="1800" w:right="180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Consolas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920" w:hanging="48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640" w:hanging="4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3360" w:hanging="48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4080" w:hanging="4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800" w:hanging="48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w="http://schemas.openxmlformats.org/wordprocessingml/2006/main">
  <w:zoom w:percent="90"/>
  <w:embedSystemFonts/>
  <w:defaultTabStop w:val="720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Cambria" w:cs="" w:asciiTheme="minorHAnsi" w:cstheme="minorBidi" w:eastAsiaTheme="minorHAnsi" w:hAnsiTheme="minorHAnsi"/>
        <w:sz w:val="24"/>
        <w:szCs w:val="24"/>
        <w:lang w:val="en-US" w:eastAsia="en-US" w:bidi="ar-SA"/>
      </w:rPr>
    </w:rPrDefault>
    <w:pPrDefault>
      <w:pPr/>
    </w:pPrDefault>
  </w:docDefaults>
  <w:latentStyles w:defLockedState="0" w:defUIPriority="0" w:defSemiHidden="0" w:defUnhideWhenUsed="0" w:defQFormat="0" w:count="276"/>
  <w:style w:type="paragraph" w:styleId="Normal" w:default="1">
    <w:name w:val="Normal"/>
    <w:qFormat/>
    <w:pPr>
      <w:widowControl/>
      <w:bidi w:val="0"/>
      <w:spacing w:before="0" w:after="200"/>
      <w:jc w:val="left"/>
    </w:pPr>
    <w:rPr>
      <w:rFonts w:ascii="Cambria" w:hAnsi="Cambria" w:eastAsia="Cambria" w:cs="" w:asciiTheme="minorHAnsi" w:cstheme="minorBidi" w:eastAsiaTheme="minorHAnsi" w:hAnsiTheme="minorHAnsi"/>
      <w:color w:val="auto"/>
      <w:kern w:val="0"/>
      <w:sz w:val="24"/>
      <w:szCs w:val="24"/>
      <w:lang w:val="en-US" w:eastAsia="en-US" w:bidi="ar-SA"/>
    </w:rPr>
  </w:style>
  <w:style w:type="paragraph" w:styleId="Heading1">
    <w:name w:val="Heading 1"/>
    <w:basedOn w:val="Normal"/>
    <w:next w:val="TextBody"/>
    <w:uiPriority w:val="9"/>
    <w:qFormat/>
    <w:pPr>
      <w:keepNext w:val="true"/>
      <w:keepLines/>
      <w:spacing w:before="480" w:after="0"/>
      <w:outlineLvl w:val="0"/>
    </w:pPr>
    <w:rPr>
      <w:rFonts w:ascii="Calibri" w:hAnsi="Calibri" w:eastAsia="" w:cs="" w:asciiTheme="majorHAnsi" w:cstheme="majorBidi" w:eastAsiaTheme="majorEastAsia" w:hAnsiTheme="majorHAns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TextBody"/>
    <w:uiPriority w:val="9"/>
    <w:unhideWhenUsed/>
    <w:qFormat/>
    <w:pPr>
      <w:keepNext w:val="true"/>
      <w:keepLines/>
      <w:spacing w:before="200" w:after="0"/>
      <w:outlineLvl w:val="1"/>
    </w:pPr>
    <w:rPr>
      <w:rFonts w:ascii="Calibri" w:hAnsi="Calibri" w:eastAsia="" w:cs="" w:asciiTheme="majorHAnsi" w:cstheme="majorBidi" w:eastAsiaTheme="majorEastAsia" w:hAnsiTheme="majorHAns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TextBody"/>
    <w:uiPriority w:val="9"/>
    <w:unhideWhenUsed/>
    <w:qFormat/>
    <w:pPr>
      <w:keepNext w:val="true"/>
      <w:keepLines/>
      <w:spacing w:before="200" w:after="0"/>
      <w:outlineLvl w:val="2"/>
    </w:pPr>
    <w:rPr>
      <w:rFonts w:ascii="Calibri" w:hAnsi="Calibri" w:eastAsia="" w:cs="" w:asciiTheme="majorHAnsi" w:cstheme="majorBidi" w:eastAsiaTheme="majorEastAsia" w:hAnsiTheme="majorHAns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TextBody"/>
    <w:uiPriority w:val="9"/>
    <w:unhideWhenUsed/>
    <w:qFormat/>
    <w:pPr>
      <w:keepNext w:val="true"/>
      <w:keepLines/>
      <w:spacing w:before="200" w:after="0"/>
      <w:outlineLvl w:val="3"/>
    </w:pPr>
    <w:rPr>
      <w:rFonts w:ascii="Calibri" w:hAnsi="Calibri" w:eastAsia="" w:cs="" w:asciiTheme="majorHAnsi" w:cstheme="majorBidi" w:eastAsiaTheme="majorEastAsia" w:hAnsiTheme="majorHAns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TextBody"/>
    <w:uiPriority w:val="9"/>
    <w:unhideWhenUsed/>
    <w:qFormat/>
    <w:pPr>
      <w:keepNext w:val="true"/>
      <w:keepLines/>
      <w:spacing w:before="200" w:after="0"/>
      <w:outlineLvl w:val="4"/>
    </w:pPr>
    <w:rPr>
      <w:rFonts w:ascii="Calibri" w:hAnsi="Calibri" w:eastAsia="" w:cs="" w:asciiTheme="majorHAnsi" w:cstheme="majorBidi" w:eastAsiaTheme="majorEastAsia" w:hAnsiTheme="majorHAns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TextBody"/>
    <w:uiPriority w:val="9"/>
    <w:unhideWhenUsed/>
    <w:qFormat/>
    <w:pPr>
      <w:keepNext w:val="true"/>
      <w:keepLines/>
      <w:spacing w:before="200" w:after="0"/>
      <w:outlineLvl w:val="5"/>
    </w:pPr>
    <w:rPr>
      <w:rFonts w:ascii="Calibri" w:hAnsi="Calibri" w:eastAsia="" w:cs="" w:asciiTheme="majorHAnsi" w:cstheme="majorBidi" w:eastAsiaTheme="majorEastAsia" w:hAnsiTheme="majorHAnsi"/>
      <w:color w:val="4F81BD" w:themeColor="accent1"/>
      <w:sz w:val="24"/>
      <w:szCs w:val="24"/>
    </w:rPr>
  </w:style>
  <w:style w:type="character" w:styleId="DefaultParagraphFont" w:default="1">
    <w:name w:val="Default Paragraph Font"/>
    <w:semiHidden/>
    <w:unhideWhenUsed/>
    <w:qFormat/>
    <w:rPr/>
  </w:style>
  <w:style w:type="character" w:styleId="BodyTextChar" w:customStyle="1">
    <w:name w:val="Body Text Char"/>
    <w:basedOn w:val="DefaultParagraphFont"/>
    <w:link w:val="BodyText"/>
    <w:qFormat/>
    <w:rPr/>
  </w:style>
  <w:style w:type="character" w:styleId="VerbatimChar" w:customStyle="1">
    <w:name w:val="Verbatim Char"/>
    <w:basedOn w:val="BodyTextChar"/>
    <w:qFormat/>
    <w:rPr>
      <w:rFonts w:ascii="Consolas" w:hAnsi="Consolas"/>
      <w:sz w:val="22"/>
    </w:rPr>
  </w:style>
  <w:style w:type="character" w:styleId="FootnoteCharacters">
    <w:name w:val="Footnote Characters"/>
    <w:basedOn w:val="BodyTextChar"/>
    <w:qFormat/>
    <w:rPr>
      <w:vertAlign w:val="superscript"/>
    </w:rPr>
  </w:style>
  <w:style w:type="character" w:styleId="FootnoteAnchor">
    <w:name w:val="Footnote Anchor"/>
    <w:rPr>
      <w:vertAlign w:val="superscript"/>
    </w:rPr>
  </w:style>
  <w:style w:type="character" w:styleId="InternetLink">
    <w:name w:val="Internet Link"/>
    <w:basedOn w:val="BodyTextChar"/>
    <w:rPr>
      <w:color w:val="4F81BD" w:themeColor="accent1"/>
    </w:rPr>
  </w:style>
  <w:style w:type="character" w:styleId="KeywordTok" w:customStyle="1">
    <w:name w:val="KeywordTok"/>
    <w:basedOn w:val="VerbatimChar"/>
    <w:qFormat/>
    <w:rPr>
      <w:color w:val="204A87"/>
      <w:shd w:fill="F8F8F8" w:val="clear"/>
    </w:rPr>
  </w:style>
  <w:style w:type="character" w:styleId="DataTypeTok" w:customStyle="1">
    <w:name w:val="DataTypeTok"/>
    <w:basedOn w:val="VerbatimChar"/>
    <w:qFormat/>
    <w:rPr>
      <w:color w:val="204A87"/>
      <w:shd w:fill="F8F8F8" w:val="clear"/>
    </w:rPr>
  </w:style>
  <w:style w:type="character" w:styleId="DecValTok" w:customStyle="1">
    <w:name w:val="DecValTok"/>
    <w:basedOn w:val="VerbatimChar"/>
    <w:qFormat/>
    <w:rPr>
      <w:color w:val="0000CF"/>
      <w:shd w:fill="F8F8F8" w:val="clear"/>
    </w:rPr>
  </w:style>
  <w:style w:type="character" w:styleId="BaseNTok" w:customStyle="1">
    <w:name w:val="BaseNTok"/>
    <w:basedOn w:val="VerbatimChar"/>
    <w:qFormat/>
    <w:rPr>
      <w:color w:val="0000CF"/>
      <w:shd w:fill="F8F8F8" w:val="clear"/>
    </w:rPr>
  </w:style>
  <w:style w:type="character" w:styleId="FloatTok" w:customStyle="1">
    <w:name w:val="FloatTok"/>
    <w:basedOn w:val="VerbatimChar"/>
    <w:qFormat/>
    <w:rPr>
      <w:color w:val="0000CF"/>
      <w:shd w:fill="F8F8F8" w:val="clear"/>
    </w:rPr>
  </w:style>
  <w:style w:type="character" w:styleId="ConstantTok" w:customStyle="1">
    <w:name w:val="ConstantTok"/>
    <w:basedOn w:val="VerbatimChar"/>
    <w:qFormat/>
    <w:rPr>
      <w:color w:val="000000"/>
      <w:shd w:fill="F8F8F8" w:val="clear"/>
    </w:rPr>
  </w:style>
  <w:style w:type="character" w:styleId="CharTok" w:customStyle="1">
    <w:name w:val="CharTok"/>
    <w:basedOn w:val="VerbatimChar"/>
    <w:qFormat/>
    <w:rPr>
      <w:color w:val="4E9A06"/>
      <w:shd w:fill="F8F8F8" w:val="clear"/>
    </w:rPr>
  </w:style>
  <w:style w:type="character" w:styleId="SpecialCharTok" w:customStyle="1">
    <w:name w:val="SpecialCharTok"/>
    <w:basedOn w:val="VerbatimChar"/>
    <w:qFormat/>
    <w:rPr>
      <w:color w:val="000000"/>
      <w:shd w:fill="F8F8F8" w:val="clear"/>
    </w:rPr>
  </w:style>
  <w:style w:type="character" w:styleId="StringTok" w:customStyle="1">
    <w:name w:val="StringTok"/>
    <w:basedOn w:val="VerbatimChar"/>
    <w:qFormat/>
    <w:rPr>
      <w:color w:val="4E9A06"/>
      <w:shd w:fill="F8F8F8" w:val="clear"/>
    </w:rPr>
  </w:style>
  <w:style w:type="character" w:styleId="VerbatimStringTok" w:customStyle="1">
    <w:name w:val="VerbatimStringTok"/>
    <w:basedOn w:val="VerbatimChar"/>
    <w:qFormat/>
    <w:rPr>
      <w:color w:val="4E9A06"/>
      <w:shd w:fill="F8F8F8" w:val="clear"/>
    </w:rPr>
  </w:style>
  <w:style w:type="character" w:styleId="SpecialStringTok" w:customStyle="1">
    <w:name w:val="SpecialStringTok"/>
    <w:basedOn w:val="VerbatimChar"/>
    <w:qFormat/>
    <w:rPr>
      <w:color w:val="4E9A06"/>
      <w:shd w:fill="F8F8F8" w:val="clear"/>
    </w:rPr>
  </w:style>
  <w:style w:type="character" w:styleId="ImportTok" w:customStyle="1">
    <w:name w:val="ImportTok"/>
    <w:basedOn w:val="VerbatimChar"/>
    <w:qFormat/>
    <w:rPr>
      <w:shd w:fill="F8F8F8" w:val="clear"/>
    </w:rPr>
  </w:style>
  <w:style w:type="character" w:styleId="CommentTok" w:customStyle="1">
    <w:name w:val="CommentTok"/>
    <w:basedOn w:val="VerbatimChar"/>
    <w:qFormat/>
    <w:rPr>
      <w:i/>
      <w:color w:val="8F5902"/>
      <w:shd w:fill="F8F8F8" w:val="clear"/>
    </w:rPr>
  </w:style>
  <w:style w:type="character" w:styleId="DocumentationTok" w:customStyle="1">
    <w:name w:val="DocumentationTok"/>
    <w:basedOn w:val="VerbatimChar"/>
    <w:qFormat/>
    <w:rPr>
      <w:i/>
      <w:color w:val="8F5902"/>
      <w:shd w:fill="F8F8F8" w:val="clear"/>
    </w:rPr>
  </w:style>
  <w:style w:type="character" w:styleId="AnnotationTok" w:customStyle="1">
    <w:name w:val="AnnotationTok"/>
    <w:basedOn w:val="VerbatimChar"/>
    <w:qFormat/>
    <w:rPr>
      <w:i/>
      <w:color w:val="8F5902"/>
      <w:shd w:fill="F8F8F8" w:val="clear"/>
    </w:rPr>
  </w:style>
  <w:style w:type="character" w:styleId="CommentVarTok" w:customStyle="1">
    <w:name w:val="CommentVarTok"/>
    <w:basedOn w:val="VerbatimChar"/>
    <w:qFormat/>
    <w:rPr>
      <w:i/>
      <w:color w:val="8F5902"/>
      <w:shd w:fill="F8F8F8" w:val="clear"/>
    </w:rPr>
  </w:style>
  <w:style w:type="character" w:styleId="OtherTok" w:customStyle="1">
    <w:name w:val="OtherTok"/>
    <w:basedOn w:val="VerbatimChar"/>
    <w:qFormat/>
    <w:rPr>
      <w:color w:val="8F5902"/>
      <w:shd w:fill="F8F8F8" w:val="clear"/>
    </w:rPr>
  </w:style>
  <w:style w:type="character" w:styleId="FunctionTok" w:customStyle="1">
    <w:name w:val="FunctionTok"/>
    <w:basedOn w:val="VerbatimChar"/>
    <w:qFormat/>
    <w:rPr>
      <w:color w:val="000000"/>
      <w:shd w:fill="F8F8F8" w:val="clear"/>
    </w:rPr>
  </w:style>
  <w:style w:type="character" w:styleId="VariableTok" w:customStyle="1">
    <w:name w:val="VariableTok"/>
    <w:basedOn w:val="VerbatimChar"/>
    <w:qFormat/>
    <w:rPr>
      <w:color w:val="000000"/>
      <w:shd w:fill="F8F8F8" w:val="clear"/>
    </w:rPr>
  </w:style>
  <w:style w:type="character" w:styleId="ControlFlowTok" w:customStyle="1">
    <w:name w:val="ControlFlowTok"/>
    <w:basedOn w:val="VerbatimChar"/>
    <w:qFormat/>
    <w:rPr>
      <w:color w:val="204A87"/>
      <w:shd w:fill="F8F8F8" w:val="clear"/>
    </w:rPr>
  </w:style>
  <w:style w:type="character" w:styleId="OperatorTok" w:customStyle="1">
    <w:name w:val="OperatorTok"/>
    <w:basedOn w:val="VerbatimChar"/>
    <w:qFormat/>
    <w:rPr>
      <w:color w:val="CE5C00"/>
      <w:shd w:fill="F8F8F8" w:val="clear"/>
    </w:rPr>
  </w:style>
  <w:style w:type="character" w:styleId="BuiltInTok" w:customStyle="1">
    <w:name w:val="BuiltInTok"/>
    <w:basedOn w:val="VerbatimChar"/>
    <w:qFormat/>
    <w:rPr>
      <w:shd w:fill="F8F8F8" w:val="clear"/>
    </w:rPr>
  </w:style>
  <w:style w:type="character" w:styleId="ExtensionTok" w:customStyle="1">
    <w:name w:val="ExtensionTok"/>
    <w:basedOn w:val="VerbatimChar"/>
    <w:qFormat/>
    <w:rPr>
      <w:shd w:fill="F8F8F8" w:val="clear"/>
    </w:rPr>
  </w:style>
  <w:style w:type="character" w:styleId="PreprocessorTok" w:customStyle="1">
    <w:name w:val="PreprocessorTok"/>
    <w:basedOn w:val="VerbatimChar"/>
    <w:qFormat/>
    <w:rPr>
      <w:i/>
      <w:color w:val="8F5902"/>
      <w:shd w:fill="F8F8F8" w:val="clear"/>
    </w:rPr>
  </w:style>
  <w:style w:type="character" w:styleId="AttributeTok" w:customStyle="1">
    <w:name w:val="AttributeTok"/>
    <w:basedOn w:val="VerbatimChar"/>
    <w:qFormat/>
    <w:rPr>
      <w:color w:val="C4A000"/>
      <w:shd w:fill="F8F8F8" w:val="clear"/>
    </w:rPr>
  </w:style>
  <w:style w:type="character" w:styleId="RegionMarkerTok" w:customStyle="1">
    <w:name w:val="RegionMarkerTok"/>
    <w:basedOn w:val="VerbatimChar"/>
    <w:qFormat/>
    <w:rPr>
      <w:shd w:fill="F8F8F8" w:val="clear"/>
    </w:rPr>
  </w:style>
  <w:style w:type="character" w:styleId="InformationTok" w:customStyle="1">
    <w:name w:val="InformationTok"/>
    <w:basedOn w:val="VerbatimChar"/>
    <w:qFormat/>
    <w:rPr>
      <w:i/>
      <w:color w:val="8F5902"/>
      <w:shd w:fill="F8F8F8" w:val="clear"/>
    </w:rPr>
  </w:style>
  <w:style w:type="character" w:styleId="WarningTok" w:customStyle="1">
    <w:name w:val="WarningTok"/>
    <w:basedOn w:val="VerbatimChar"/>
    <w:qFormat/>
    <w:rPr>
      <w:i/>
      <w:color w:val="8F5902"/>
      <w:shd w:fill="F8F8F8" w:val="clear"/>
    </w:rPr>
  </w:style>
  <w:style w:type="character" w:styleId="AlertTok" w:customStyle="1">
    <w:name w:val="AlertTok"/>
    <w:basedOn w:val="VerbatimChar"/>
    <w:qFormat/>
    <w:rPr>
      <w:color w:val="EF2929"/>
      <w:shd w:fill="F8F8F8" w:val="clear"/>
    </w:rPr>
  </w:style>
  <w:style w:type="character" w:styleId="ErrorTok" w:customStyle="1">
    <w:name w:val="ErrorTok"/>
    <w:basedOn w:val="VerbatimChar"/>
    <w:qFormat/>
    <w:rPr>
      <w:color w:val="A40000"/>
      <w:shd w:fill="F8F8F8" w:val="clear"/>
    </w:rPr>
  </w:style>
  <w:style w:type="character" w:styleId="NormalTok" w:customStyle="1">
    <w:name w:val="NormalTok"/>
    <w:basedOn w:val="VerbatimChar"/>
    <w:qFormat/>
    <w:rPr>
      <w:shd w:fill="F8F8F8" w:val="clear"/>
    </w:rPr>
  </w:style>
  <w:style w:type="character" w:styleId="ListLabel1">
    <w:name w:val="ListLabel 1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TextBody">
    <w:name w:val="Body Text"/>
    <w:basedOn w:val="Normal"/>
    <w:link w:val="BodyTextChar"/>
    <w:qFormat/>
    <w:pPr>
      <w:spacing w:before="180" w:after="18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link w:val="BodyTextChar"/>
    <w:qFormat/>
    <w:pPr>
      <w:spacing w:before="0" w:after="120"/>
    </w:pPr>
    <w:rPr>
      <w:i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FirstParagraph" w:customStyle="1">
    <w:name w:val="First Paragraph"/>
    <w:basedOn w:val="TextBody"/>
    <w:next w:val="TextBody"/>
    <w:qFormat/>
    <w:pPr/>
    <w:rPr/>
  </w:style>
  <w:style w:type="paragraph" w:styleId="Compact" w:customStyle="1">
    <w:name w:val="Compact"/>
    <w:basedOn w:val="TextBody"/>
    <w:qFormat/>
    <w:pPr>
      <w:spacing w:before="36" w:after="36"/>
    </w:pPr>
    <w:rPr/>
  </w:style>
  <w:style w:type="paragraph" w:styleId="Title">
    <w:name w:val="Title"/>
    <w:basedOn w:val="Normal"/>
    <w:next w:val="TextBody"/>
    <w:qFormat/>
    <w:pPr>
      <w:keepNext w:val="true"/>
      <w:keepLines/>
      <w:spacing w:before="480" w:after="240"/>
      <w:jc w:val="center"/>
    </w:pPr>
    <w:rPr>
      <w:rFonts w:ascii="Calibri" w:hAnsi="Calibri" w:eastAsia="" w:cs="" w:asciiTheme="majorHAnsi" w:cstheme="majorBidi" w:eastAsiaTheme="majorEastAsia" w:hAnsiTheme="majorHAns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TextBody"/>
    <w:qFormat/>
    <w:pPr>
      <w:keepNext w:val="true"/>
      <w:keepLines/>
      <w:spacing w:before="240" w:after="240"/>
      <w:jc w:val="center"/>
    </w:pPr>
    <w:rPr>
      <w:sz w:val="30"/>
      <w:szCs w:val="30"/>
    </w:rPr>
  </w:style>
  <w:style w:type="paragraph" w:styleId="Author" w:customStyle="1">
    <w:name w:val="Author"/>
    <w:next w:val="TextBody"/>
    <w:qFormat/>
    <w:pPr>
      <w:keepNext w:val="true"/>
      <w:keepLines/>
      <w:widowControl/>
      <w:bidi w:val="0"/>
      <w:jc w:val="center"/>
    </w:pPr>
    <w:rPr>
      <w:rFonts w:ascii="Cambria" w:hAnsi="Cambria" w:eastAsia="Cambria" w:cs="" w:asciiTheme="minorHAnsi" w:cstheme="minorBidi" w:eastAsiaTheme="minorHAnsi" w:hAnsiTheme="minorHAnsi"/>
      <w:color w:val="auto"/>
      <w:kern w:val="0"/>
      <w:sz w:val="24"/>
      <w:szCs w:val="24"/>
      <w:lang w:val="en-US" w:eastAsia="en-US" w:bidi="ar-SA"/>
    </w:rPr>
  </w:style>
  <w:style w:type="paragraph" w:styleId="Date">
    <w:name w:val="Date"/>
    <w:next w:val="TextBody"/>
    <w:qFormat/>
    <w:pPr>
      <w:keepNext w:val="true"/>
      <w:keepLines/>
      <w:widowControl/>
      <w:bidi w:val="0"/>
      <w:jc w:val="center"/>
    </w:pPr>
    <w:rPr>
      <w:rFonts w:ascii="Cambria" w:hAnsi="Cambria" w:eastAsia="Cambria" w:cs="" w:asciiTheme="minorHAnsi" w:cstheme="minorBidi" w:eastAsiaTheme="minorHAnsi" w:hAnsiTheme="minorHAnsi"/>
      <w:color w:val="auto"/>
      <w:kern w:val="0"/>
      <w:sz w:val="24"/>
      <w:szCs w:val="24"/>
      <w:lang w:val="en-US" w:eastAsia="en-US" w:bidi="ar-SA"/>
    </w:rPr>
  </w:style>
  <w:style w:type="paragraph" w:styleId="Abstract" w:customStyle="1">
    <w:name w:val="Abstract"/>
    <w:basedOn w:val="Normal"/>
    <w:next w:val="TextBody"/>
    <w:qFormat/>
    <w:pPr>
      <w:keepNext w:val="true"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  <w:pPr/>
    <w:rPr/>
  </w:style>
  <w:style w:type="paragraph" w:styleId="BlockText">
    <w:name w:val="Block Text"/>
    <w:basedOn w:val="TextBody"/>
    <w:next w:val="TextBody"/>
    <w:uiPriority w:val="9"/>
    <w:unhideWhenUsed/>
    <w:qFormat/>
    <w:pPr>
      <w:spacing w:before="100" w:after="100"/>
      <w:ind w:hanging="0"/>
    </w:pPr>
    <w:rPr>
      <w:rFonts w:ascii="Calibri" w:hAnsi="Calibri" w:eastAsia="" w:cs="" w:asciiTheme="majorHAnsi" w:cstheme="majorBidi" w:eastAsiaTheme="majorEastAsia" w:hAnsiTheme="majorHAnsi"/>
      <w:bCs/>
      <w:sz w:val="20"/>
      <w:szCs w:val="20"/>
    </w:rPr>
  </w:style>
  <w:style w:type="paragraph" w:styleId="Footnote">
    <w:name w:val="Footnote Text"/>
    <w:basedOn w:val="Normal"/>
    <w:uiPriority w:val="9"/>
    <w:unhideWhenUsed/>
    <w:qFormat/>
    <w:pPr/>
    <w:rPr/>
  </w:style>
  <w:style w:type="paragraph" w:styleId="DefinitionTerm" w:customStyle="1">
    <w:name w:val="Definition Term"/>
    <w:basedOn w:val="Normal"/>
    <w:qFormat/>
    <w:pPr>
      <w:keepNext w:val="true"/>
      <w:keepLines/>
      <w:spacing w:before="0" w:after="0"/>
    </w:pPr>
    <w:rPr>
      <w:b/>
    </w:rPr>
  </w:style>
  <w:style w:type="paragraph" w:styleId="Definition" w:customStyle="1">
    <w:name w:val="Definition"/>
    <w:basedOn w:val="Normal"/>
    <w:qFormat/>
    <w:pPr/>
    <w:rPr/>
  </w:style>
  <w:style w:type="paragraph" w:styleId="TableCaption" w:customStyle="1">
    <w:name w:val="Table Caption"/>
    <w:basedOn w:val="Caption"/>
    <w:qFormat/>
    <w:pPr>
      <w:keepNext w:val="true"/>
    </w:pPr>
    <w:rPr/>
  </w:style>
  <w:style w:type="paragraph" w:styleId="ImageCaption" w:customStyle="1">
    <w:name w:val="Image Caption"/>
    <w:basedOn w:val="Caption"/>
    <w:qFormat/>
    <w:pPr/>
    <w:rPr/>
  </w:style>
  <w:style w:type="paragraph" w:styleId="Figure" w:customStyle="1">
    <w:name w:val="Figure"/>
    <w:basedOn w:val="Normal"/>
    <w:qFormat/>
    <w:pPr/>
    <w:rPr/>
  </w:style>
  <w:style w:type="paragraph" w:styleId="FigurewithCaption" w:customStyle="1">
    <w:name w:val="Figure with Caption"/>
    <w:basedOn w:val="Figure"/>
    <w:qFormat/>
    <w:pPr>
      <w:keepNext w:val="true"/>
    </w:pPr>
    <w:rPr/>
  </w:style>
  <w:style w:type="paragraph" w:styleId="TOCHeading">
    <w:name w:val="TOC Heading"/>
    <w:basedOn w:val="Heading1"/>
    <w:next w:val="TextBody"/>
    <w:uiPriority w:val="39"/>
    <w:unhideWhenUsed/>
    <w:qFormat/>
    <w:pPr>
      <w:spacing w:lineRule="auto" w:line="259" w:before="240" w:after="0"/>
    </w:pPr>
    <w:rPr>
      <w:rFonts w:ascii="Calibri" w:hAnsi="Calibri" w:eastAsia="" w:cs="" w:asciiTheme="majorHAnsi" w:cstheme="majorBidi" w:eastAsiaTheme="majorEastAsia" w:hAnsiTheme="majorHAnsi"/>
      <w:b w:val="false"/>
      <w:bCs w:val="false"/>
      <w:color w:val="365F91" w:themeColor="accent1" w:themeShade="bf"/>
    </w:rPr>
  </w:style>
  <w:style w:type="paragraph" w:styleId="SourceCode" w:customStyle="1">
    <w:name w:val="Source Code"/>
    <w:basedOn w:val="Normal"/>
    <w:link w:val="VerbatimChar"/>
    <w:qFormat/>
    <w:pPr>
      <w:shd w:val="clear" w:fill="F8F8F8"/>
    </w:pPr>
    <w:rPr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arkus.konrad@wzb.eu" TargetMode="External"/><Relationship Id="rId3" Type="http://schemas.openxmlformats.org/officeDocument/2006/relationships/hyperlink" Target="https://r4ds.had.co.nz/data-visualisation.html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hyperlink" Target="https://google-developers.appspot.com/maps/documentation/utils/geocoder/" TargetMode="External"/><Relationship Id="rId18" Type="http://schemas.openxmlformats.org/officeDocument/2006/relationships/hyperlink" Target="https://www.mapdevelopers.com/geocode_tool.php" TargetMode="External"/><Relationship Id="rId19" Type="http://schemas.openxmlformats.org/officeDocument/2006/relationships/image" Target="media/image14.png"/><Relationship Id="rId20" Type="http://schemas.openxmlformats.org/officeDocument/2006/relationships/hyperlink" Target="https://fbinter.stadt-berlin.de/fb/index.jsp" TargetMode="External"/><Relationship Id="rId21" Type="http://schemas.openxmlformats.org/officeDocument/2006/relationships/hyperlink" Target="https://ec.europa.eu/eurostat/web/regions/data/main-tables" TargetMode="External"/><Relationship Id="rId22" Type="http://schemas.openxmlformats.org/officeDocument/2006/relationships/hyperlink" Target="https://ec.europa.eu/eurostat/data/browse-statistics-by-theme" TargetMode="External"/><Relationship Id="rId23" Type="http://schemas.openxmlformats.org/officeDocument/2006/relationships/hyperlink" Target="https://github.com/eurostat/Nuts2json" TargetMode="External"/><Relationship Id="rId24" Type="http://schemas.openxmlformats.org/officeDocument/2006/relationships/hyperlink" Target="https://cran.r-project.org/web/packages/maps/index.html" TargetMode="External"/><Relationship Id="rId25" Type="http://schemas.openxmlformats.org/officeDocument/2006/relationships/hyperlink" Target="https://cran.r-project.org/web/packages/mapdata/index.html" TargetMode="External"/><Relationship Id="rId26" Type="http://schemas.openxmlformats.org/officeDocument/2006/relationships/hyperlink" Target="https://cran.r-project.org/web/packages/rnaturalearth/index.html" TargetMode="External"/><Relationship Id="rId27" Type="http://schemas.openxmlformats.org/officeDocument/2006/relationships/hyperlink" Target="https://cran.r-project.org/web/packages/OpenStreetMap/" TargetMode="External"/><Relationship Id="rId28" Type="http://schemas.openxmlformats.org/officeDocument/2006/relationships/hyperlink" Target="http://www.naturalearthdata.com/" TargetMode="External"/><Relationship Id="rId29" Type="http://schemas.openxmlformats.org/officeDocument/2006/relationships/hyperlink" Target="https://cran.r-project.org/web/packages/rnaturalearth/index.html" TargetMode="External"/><Relationship Id="rId30" Type="http://schemas.openxmlformats.org/officeDocument/2006/relationships/hyperlink" Target="https://download.geofabrik.de/" TargetMode="External"/><Relationship Id="rId31" Type="http://schemas.openxmlformats.org/officeDocument/2006/relationships/hyperlink" Target="https://wambachers-osm.website/boundaries/" TargetMode="External"/><Relationship Id="rId32" Type="http://schemas.openxmlformats.org/officeDocument/2006/relationships/image" Target="media/image15.png"/><Relationship Id="rId33" Type="http://schemas.openxmlformats.org/officeDocument/2006/relationships/hyperlink" Target="https://ec.europa.eu/eurostat" TargetMode="External"/><Relationship Id="rId34" Type="http://schemas.openxmlformats.org/officeDocument/2006/relationships/hyperlink" Target="https://ec.europa.eu/eurostat/web/gisco/geodata/reference-data/administrative-units-statistical-units/nuts" TargetMode="External"/><Relationship Id="rId35" Type="http://schemas.openxmlformats.org/officeDocument/2006/relationships/hyperlink" Target="https://github.com/eurostat/Nuts2json" TargetMode="External"/><Relationship Id="rId36" Type="http://schemas.openxmlformats.org/officeDocument/2006/relationships/hyperlink" Target="https://ec.europa.eu/eurostat/web/nuts/correspondence-tables/postcodes-and-nuts" TargetMode="External"/><Relationship Id="rId37" Type="http://schemas.openxmlformats.org/officeDocument/2006/relationships/hyperlink" Target="https://www.destatis.de/DE/Themen/Laender-Regionen/Regionales/_inhalt.html" TargetMode="External"/><Relationship Id="rId38" Type="http://schemas.openxmlformats.org/officeDocument/2006/relationships/hyperlink" Target="https://www.destatis.de/DE/Themen/Laender-Regionen/Regionales/Gemeindeverzeichnis/_inhalt.html" TargetMode="External"/><Relationship Id="rId39" Type="http://schemas.openxmlformats.org/officeDocument/2006/relationships/hyperlink" Target="https://www.regionalstatistik.de/genesis/online" TargetMode="External"/><Relationship Id="rId40" Type="http://schemas.openxmlformats.org/officeDocument/2006/relationships/hyperlink" Target="https://www.govdata.de/" TargetMode="External"/><Relationship Id="rId41" Type="http://schemas.openxmlformats.org/officeDocument/2006/relationships/hyperlink" Target="http://www.stadtentwicklung.berlin.de/planen/basisdaten_stadtentwicklung/index.shtml" TargetMode="External"/><Relationship Id="rId42" Type="http://schemas.openxmlformats.org/officeDocument/2006/relationships/hyperlink" Target="http://www.stadtentwicklung.berlin.de/planen/basisdaten_stadtentwicklung/lor/index.shtml" TargetMode="External"/><Relationship Id="rId43" Type="http://schemas.openxmlformats.org/officeDocument/2006/relationships/hyperlink" Target="https://fbinter.stadt-berlin.de/fb/index.jsp" TargetMode="External"/><Relationship Id="rId44" Type="http://schemas.openxmlformats.org/officeDocument/2006/relationships/hyperlink" Target="https://lab.technologiestiftung-berlin.de/projects/fisbroker-to-qgis/index.html" TargetMode="External"/><Relationship Id="rId45" Type="http://schemas.openxmlformats.org/officeDocument/2006/relationships/numbering" Target="numbering.xml"/><Relationship Id="rId46" Type="http://schemas.openxmlformats.org/officeDocument/2006/relationships/fontTable" Target="fontTable.xml"/><Relationship Id="rId47" Type="http://schemas.openxmlformats.org/officeDocument/2006/relationships/settings" Target="settings.xml"/><Relationship Id="rId4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LibreOffice/6.0.7.3$Linux_X86_64 LibreOffice_project/00m0$Build-3</Application>
  <Pages>20</Pages>
  <Words>2946</Words>
  <Characters>15518</Characters>
  <CharactersWithSpaces>18854</CharactersWithSpaces>
  <Paragraphs>209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2019-04-23T14:04:52Z</dcterms:created>
  <dc:creator>Markus Konrad markus.konrad@wzb.eu</dc:creator>
  <dc:description/>
  <dc:language>en-US</dc:language>
  <cp:lastModifiedBy/>
  <dcterms:modified xsi:type="dcterms:W3CDTF">2019-04-23T16:21:29Z</dcterms:modified>
  <cp:revision>1</cp:revision>
  <dc:subject/>
  <dc:title>Handout – Working with Geo-Data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